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rPr>
          <w:rFonts w:ascii="Times New Roman"/>
          <w:sz w:val="52"/>
        </w:rPr>
      </w:pPr>
    </w:p>
    <w:p>
      <w:pPr>
        <w:pStyle w:val="BodyText"/>
        <w:spacing w:before="93"/>
        <w:rPr>
          <w:rFonts w:ascii="Times New Roman"/>
          <w:sz w:val="52"/>
        </w:rPr>
      </w:pPr>
    </w:p>
    <w:p>
      <w:pPr>
        <w:spacing w:before="0"/>
        <w:ind w:left="2683" w:right="0" w:firstLine="0"/>
        <w:jc w:val="left"/>
        <w:rPr>
          <w:rFonts w:ascii="Georgia" w:hAnsi="Georgia"/>
          <w:b/>
          <w:sz w:val="44"/>
        </w:rPr>
      </w:pPr>
      <w:r>
        <w:rPr>
          <w:rFonts w:ascii="Arial" w:hAnsi="Arial"/>
          <w:b/>
          <w:sz w:val="52"/>
        </w:rPr>
        <w:t>Araucária</w:t>
      </w:r>
      <w:r>
        <w:rPr>
          <w:rFonts w:ascii="Arial" w:hAnsi="Arial"/>
          <w:b/>
          <w:spacing w:val="-30"/>
          <w:sz w:val="52"/>
        </w:rPr>
        <w:t> </w:t>
      </w:r>
      <w:r>
        <w:rPr>
          <w:rFonts w:ascii="Arial" w:hAnsi="Arial"/>
          <w:b/>
          <w:sz w:val="52"/>
        </w:rPr>
        <w:t>Nitrogenados</w:t>
      </w:r>
      <w:r>
        <w:rPr>
          <w:rFonts w:ascii="Arial" w:hAnsi="Arial"/>
          <w:b/>
          <w:spacing w:val="-30"/>
          <w:sz w:val="52"/>
        </w:rPr>
        <w:t> </w:t>
      </w:r>
      <w:r>
        <w:rPr>
          <w:rFonts w:ascii="Arial" w:hAnsi="Arial"/>
          <w:b/>
          <w:spacing w:val="-4"/>
          <w:sz w:val="52"/>
        </w:rPr>
        <w:t>S.A</w:t>
      </w:r>
      <w:r>
        <w:rPr>
          <w:rFonts w:ascii="Georgia" w:hAnsi="Georgia"/>
          <w:b/>
          <w:spacing w:val="-4"/>
          <w:sz w:val="44"/>
        </w:rPr>
        <w:t>.</w:t>
      </w:r>
    </w:p>
    <w:p>
      <w:pPr>
        <w:spacing w:before="1"/>
        <w:ind w:left="2683" w:right="0" w:firstLine="0"/>
        <w:jc w:val="left"/>
        <w:rPr>
          <w:rFonts w:ascii="Arial" w:hAnsi="Arial"/>
          <w:b/>
          <w:i/>
          <w:sz w:val="20"/>
        </w:rPr>
      </w:pPr>
      <w:r>
        <w:rPr>
          <w:rFonts w:ascii="Arial" w:hAnsi="Arial"/>
          <w:b/>
          <w:i/>
          <w:sz w:val="20"/>
        </w:rPr>
        <w:t>(Controlada</w:t>
      </w:r>
      <w:r>
        <w:rPr>
          <w:rFonts w:ascii="Arial" w:hAnsi="Arial"/>
          <w:b/>
          <w:i/>
          <w:spacing w:val="-8"/>
          <w:sz w:val="20"/>
        </w:rPr>
        <w:t> </w:t>
      </w:r>
      <w:r>
        <w:rPr>
          <w:rFonts w:ascii="Arial" w:hAnsi="Arial"/>
          <w:b/>
          <w:i/>
          <w:sz w:val="20"/>
        </w:rPr>
        <w:t>da</w:t>
      </w:r>
      <w:r>
        <w:rPr>
          <w:rFonts w:ascii="Arial" w:hAnsi="Arial"/>
          <w:b/>
          <w:i/>
          <w:spacing w:val="-7"/>
          <w:sz w:val="20"/>
        </w:rPr>
        <w:t> </w:t>
      </w:r>
      <w:r>
        <w:rPr>
          <w:rFonts w:ascii="Arial" w:hAnsi="Arial"/>
          <w:b/>
          <w:i/>
          <w:sz w:val="20"/>
        </w:rPr>
        <w:t>Petróleo</w:t>
      </w:r>
      <w:r>
        <w:rPr>
          <w:rFonts w:ascii="Arial" w:hAnsi="Arial"/>
          <w:b/>
          <w:i/>
          <w:spacing w:val="-8"/>
          <w:sz w:val="20"/>
        </w:rPr>
        <w:t> </w:t>
      </w:r>
      <w:r>
        <w:rPr>
          <w:rFonts w:ascii="Arial" w:hAnsi="Arial"/>
          <w:b/>
          <w:i/>
          <w:sz w:val="20"/>
        </w:rPr>
        <w:t>Brasileiro</w:t>
      </w:r>
      <w:r>
        <w:rPr>
          <w:rFonts w:ascii="Arial" w:hAnsi="Arial"/>
          <w:b/>
          <w:i/>
          <w:spacing w:val="-7"/>
          <w:sz w:val="20"/>
        </w:rPr>
        <w:t> </w:t>
      </w:r>
      <w:r>
        <w:rPr>
          <w:rFonts w:ascii="Arial" w:hAnsi="Arial"/>
          <w:b/>
          <w:i/>
          <w:sz w:val="20"/>
        </w:rPr>
        <w:t>S.A.</w:t>
      </w:r>
      <w:r>
        <w:rPr>
          <w:rFonts w:ascii="Arial" w:hAnsi="Arial"/>
          <w:b/>
          <w:i/>
          <w:spacing w:val="-7"/>
          <w:sz w:val="20"/>
        </w:rPr>
        <w:t> </w:t>
      </w:r>
      <w:r>
        <w:rPr>
          <w:rFonts w:ascii="Arial" w:hAnsi="Arial"/>
          <w:b/>
          <w:i/>
          <w:spacing w:val="-2"/>
          <w:sz w:val="20"/>
        </w:rPr>
        <w:t>–Petrobras)</w:t>
      </w:r>
    </w:p>
    <w:p>
      <w:pPr>
        <w:pStyle w:val="BodyText"/>
        <w:rPr>
          <w:rFonts w:ascii="Arial"/>
          <w:b/>
          <w:i/>
          <w:sz w:val="20"/>
        </w:rPr>
      </w:pPr>
    </w:p>
    <w:p>
      <w:pPr>
        <w:pStyle w:val="BodyText"/>
        <w:spacing w:before="85"/>
        <w:rPr>
          <w:rFonts w:ascii="Arial"/>
          <w:b/>
          <w:i/>
          <w:sz w:val="20"/>
        </w:rPr>
      </w:pPr>
    </w:p>
    <w:p>
      <w:pPr>
        <w:spacing w:before="0"/>
        <w:ind w:left="2683" w:right="552" w:firstLine="0"/>
        <w:jc w:val="left"/>
        <w:rPr>
          <w:rFonts w:ascii="Arial" w:hAnsi="Arial"/>
          <w:b/>
          <w:sz w:val="24"/>
        </w:rPr>
      </w:pPr>
      <w:r>
        <w:rPr>
          <w:rFonts w:ascii="Arial" w:hAnsi="Arial"/>
          <w:b/>
          <w:sz w:val="24"/>
        </w:rPr>
        <w:t>Demonstrações</w:t>
      </w:r>
      <w:r>
        <w:rPr>
          <w:rFonts w:ascii="Arial" w:hAnsi="Arial"/>
          <w:b/>
          <w:spacing w:val="-4"/>
          <w:sz w:val="24"/>
        </w:rPr>
        <w:t> </w:t>
      </w:r>
      <w:r>
        <w:rPr>
          <w:rFonts w:ascii="Arial" w:hAnsi="Arial"/>
          <w:b/>
          <w:sz w:val="24"/>
        </w:rPr>
        <w:t>financeiras</w:t>
      </w:r>
      <w:r>
        <w:rPr>
          <w:rFonts w:ascii="Arial" w:hAnsi="Arial"/>
          <w:b/>
          <w:spacing w:val="-4"/>
          <w:sz w:val="24"/>
        </w:rPr>
        <w:t> </w:t>
      </w:r>
      <w:r>
        <w:rPr>
          <w:rFonts w:ascii="Arial" w:hAnsi="Arial"/>
          <w:b/>
          <w:sz w:val="24"/>
        </w:rPr>
        <w:t>em</w:t>
      </w:r>
      <w:r>
        <w:rPr>
          <w:rFonts w:ascii="Arial" w:hAnsi="Arial"/>
          <w:b/>
          <w:spacing w:val="-4"/>
          <w:sz w:val="24"/>
        </w:rPr>
        <w:t> </w:t>
      </w:r>
      <w:r>
        <w:rPr>
          <w:rFonts w:ascii="Arial" w:hAnsi="Arial"/>
          <w:b/>
          <w:sz w:val="24"/>
        </w:rPr>
        <w:t>31</w:t>
      </w:r>
      <w:r>
        <w:rPr>
          <w:rFonts w:ascii="Arial" w:hAnsi="Arial"/>
          <w:b/>
          <w:spacing w:val="-4"/>
          <w:sz w:val="24"/>
        </w:rPr>
        <w:t> </w:t>
      </w:r>
      <w:r>
        <w:rPr>
          <w:rFonts w:ascii="Arial" w:hAnsi="Arial"/>
          <w:b/>
          <w:sz w:val="24"/>
        </w:rPr>
        <w:t>de</w:t>
      </w:r>
      <w:r>
        <w:rPr>
          <w:rFonts w:ascii="Arial" w:hAnsi="Arial"/>
          <w:b/>
          <w:spacing w:val="-4"/>
          <w:sz w:val="24"/>
        </w:rPr>
        <w:t> </w:t>
      </w:r>
      <w:r>
        <w:rPr>
          <w:rFonts w:ascii="Arial" w:hAnsi="Arial"/>
          <w:b/>
          <w:sz w:val="24"/>
        </w:rPr>
        <w:t>dezembro</w:t>
      </w:r>
      <w:r>
        <w:rPr>
          <w:rFonts w:ascii="Arial" w:hAnsi="Arial"/>
          <w:b/>
          <w:spacing w:val="-4"/>
          <w:sz w:val="24"/>
        </w:rPr>
        <w:t> </w:t>
      </w:r>
      <w:r>
        <w:rPr>
          <w:rFonts w:ascii="Arial" w:hAnsi="Arial"/>
          <w:b/>
          <w:sz w:val="24"/>
        </w:rPr>
        <w:t>de</w:t>
      </w:r>
      <w:r>
        <w:rPr>
          <w:rFonts w:ascii="Arial" w:hAnsi="Arial"/>
          <w:b/>
          <w:spacing w:val="-4"/>
          <w:sz w:val="24"/>
        </w:rPr>
        <w:t> </w:t>
      </w:r>
      <w:r>
        <w:rPr>
          <w:rFonts w:ascii="Arial" w:hAnsi="Arial"/>
          <w:b/>
          <w:sz w:val="24"/>
        </w:rPr>
        <w:t>2022</w:t>
      </w:r>
      <w:r>
        <w:rPr>
          <w:rFonts w:ascii="Arial" w:hAnsi="Arial"/>
          <w:b/>
          <w:spacing w:val="-4"/>
          <w:sz w:val="24"/>
        </w:rPr>
        <w:t> </w:t>
      </w:r>
      <w:r>
        <w:rPr>
          <w:rFonts w:ascii="Arial" w:hAnsi="Arial"/>
          <w:b/>
          <w:sz w:val="24"/>
        </w:rPr>
        <w:t>e</w:t>
      </w:r>
      <w:r>
        <w:rPr>
          <w:rFonts w:ascii="Arial" w:hAnsi="Arial"/>
          <w:b/>
          <w:spacing w:val="-4"/>
          <w:sz w:val="24"/>
        </w:rPr>
        <w:t> </w:t>
      </w:r>
      <w:r>
        <w:rPr>
          <w:rFonts w:ascii="Arial" w:hAnsi="Arial"/>
          <w:b/>
          <w:sz w:val="24"/>
        </w:rPr>
        <w:t>2021 e relatório dos auditores independentes</w:t>
      </w:r>
    </w:p>
    <w:p>
      <w:pPr>
        <w:spacing w:after="0"/>
        <w:jc w:val="left"/>
        <w:rPr>
          <w:rFonts w:ascii="Arial" w:hAnsi="Arial"/>
          <w:sz w:val="24"/>
        </w:rPr>
        <w:sectPr>
          <w:type w:val="continuous"/>
          <w:pgSz w:w="11910" w:h="16840"/>
          <w:pgMar w:top="1940" w:bottom="280" w:left="720" w:right="700"/>
        </w:sectPr>
      </w:pPr>
    </w:p>
    <w:p>
      <w:pPr>
        <w:spacing w:before="25"/>
        <w:ind w:left="132"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before="3"/>
        <w:ind w:left="132"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p>
      <w:pPr>
        <w:spacing w:before="0"/>
        <w:ind w:left="132" w:right="0" w:firstLine="0"/>
        <w:jc w:val="left"/>
        <w:rPr>
          <w:sz w:val="24"/>
        </w:rPr>
      </w:pPr>
      <w:r>
        <w:rPr/>
        <mc:AlternateContent>
          <mc:Choice Requires="wps">
            <w:drawing>
              <wp:anchor distT="0" distB="0" distL="0" distR="0" allowOverlap="1" layoutInCell="1" locked="0" behindDoc="0" simplePos="0" relativeHeight="15728640">
                <wp:simplePos x="0" y="0"/>
                <wp:positionH relativeFrom="page">
                  <wp:posOffset>522731</wp:posOffset>
                </wp:positionH>
                <wp:positionV relativeFrom="paragraph">
                  <wp:posOffset>202468</wp:posOffset>
                </wp:positionV>
                <wp:extent cx="6517640" cy="127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6517640" cy="1270"/>
                        </a:xfrm>
                        <a:custGeom>
                          <a:avLst/>
                          <a:gdLst/>
                          <a:ahLst/>
                          <a:cxnLst/>
                          <a:rect l="l" t="t" r="r" b="b"/>
                          <a:pathLst>
                            <a:path w="6517640" h="0">
                              <a:moveTo>
                                <a:pt x="0" y="0"/>
                              </a:moveTo>
                              <a:lnTo>
                                <a:pt x="6517385"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28640" from="41.16pt,15.942422pt" to="554.34pt,15.942422pt" stroked="true" strokeweight="1.44pt" strokecolor="#000000">
                <v:stroke dashstyle="solid"/>
                <w10:wrap type="none"/>
              </v:line>
            </w:pict>
          </mc:Fallback>
        </mc:AlternateContent>
      </w:r>
      <w:r>
        <w:rPr>
          <w:spacing w:val="-2"/>
          <w:sz w:val="24"/>
        </w:rPr>
        <w:t>Índice</w:t>
      </w:r>
    </w:p>
    <w:sdt>
      <w:sdtPr>
        <w:docPartObj>
          <w:docPartGallery w:val="Table of Contents"/>
          <w:docPartUnique/>
        </w:docPartObj>
      </w:sdtPr>
      <w:sdtEndPr/>
      <w:sdtContent>
        <w:p>
          <w:pPr>
            <w:pStyle w:val="TOC2"/>
            <w:tabs>
              <w:tab w:pos="10325" w:val="right" w:leader="dot"/>
            </w:tabs>
            <w:spacing w:before="402"/>
            <w:ind w:left="132"/>
          </w:pPr>
          <w:hyperlink w:history="true" w:anchor="_TOC_250024">
            <w:r>
              <w:rPr/>
              <w:t>Relatório</w:t>
            </w:r>
            <w:r>
              <w:rPr>
                <w:spacing w:val="-5"/>
              </w:rPr>
              <w:t> </w:t>
            </w:r>
            <w:r>
              <w:rPr/>
              <w:t>da</w:t>
            </w:r>
            <w:r>
              <w:rPr>
                <w:spacing w:val="-5"/>
              </w:rPr>
              <w:t> </w:t>
            </w:r>
            <w:r>
              <w:rPr>
                <w:spacing w:val="-2"/>
              </w:rPr>
              <w:t>Administração</w:t>
            </w:r>
            <w:r>
              <w:rPr>
                <w:rFonts w:ascii="Times New Roman" w:hAnsi="Times New Roman"/>
              </w:rPr>
              <w:tab/>
            </w:r>
            <w:r>
              <w:rPr>
                <w:spacing w:val="-10"/>
              </w:rPr>
              <w:t>3</w:t>
            </w:r>
          </w:hyperlink>
        </w:p>
        <w:p>
          <w:pPr>
            <w:pStyle w:val="TOC1"/>
            <w:tabs>
              <w:tab w:pos="10325" w:val="right" w:leader="dot"/>
            </w:tabs>
            <w:ind w:left="132"/>
          </w:pPr>
          <w:hyperlink w:history="true" w:anchor="_TOC_250023">
            <w:r>
              <w:rPr/>
              <w:t>Relatório</w:t>
            </w:r>
            <w:r>
              <w:rPr>
                <w:spacing w:val="-3"/>
              </w:rPr>
              <w:t> </w:t>
            </w:r>
            <w:r>
              <w:rPr/>
              <w:t>dos</w:t>
            </w:r>
            <w:r>
              <w:rPr>
                <w:spacing w:val="-2"/>
              </w:rPr>
              <w:t> </w:t>
            </w:r>
            <w:r>
              <w:rPr/>
              <w:t>Auditores</w:t>
            </w:r>
            <w:r>
              <w:rPr>
                <w:spacing w:val="-2"/>
              </w:rPr>
              <w:t> </w:t>
            </w:r>
            <w:r>
              <w:rPr/>
              <w:t>Independentes</w:t>
            </w:r>
            <w:r>
              <w:rPr>
                <w:spacing w:val="-2"/>
              </w:rPr>
              <w:t> </w:t>
            </w:r>
            <w:r>
              <w:rPr/>
              <w:t>sobre</w:t>
            </w:r>
            <w:r>
              <w:rPr>
                <w:spacing w:val="-2"/>
              </w:rPr>
              <w:t> </w:t>
            </w:r>
            <w:r>
              <w:rPr/>
              <w:t>as</w:t>
            </w:r>
            <w:r>
              <w:rPr>
                <w:spacing w:val="-9"/>
              </w:rPr>
              <w:t> </w:t>
            </w:r>
            <w:r>
              <w:rPr/>
              <w:t>demonstrações</w:t>
            </w:r>
            <w:r>
              <w:rPr>
                <w:spacing w:val="-4"/>
              </w:rPr>
              <w:t> </w:t>
            </w:r>
            <w:r>
              <w:rPr>
                <w:spacing w:val="-2"/>
              </w:rPr>
              <w:t>financeiras</w:t>
            </w:r>
            <w:r>
              <w:rPr>
                <w:rFonts w:ascii="Times New Roman" w:hAnsi="Times New Roman"/>
              </w:rPr>
              <w:tab/>
            </w:r>
            <w:r>
              <w:rPr>
                <w:spacing w:val="-10"/>
              </w:rPr>
              <w:t>8</w:t>
            </w:r>
          </w:hyperlink>
        </w:p>
        <w:p>
          <w:pPr>
            <w:pStyle w:val="TOC4"/>
            <w:tabs>
              <w:tab w:pos="10327" w:val="right" w:leader="dot"/>
            </w:tabs>
            <w:ind w:left="131"/>
          </w:pPr>
          <w:hyperlink w:history="true" w:anchor="_TOC_250022">
            <w:r>
              <w:rPr/>
              <w:t>Balanço</w:t>
            </w:r>
            <w:r>
              <w:rPr>
                <w:spacing w:val="-6"/>
              </w:rPr>
              <w:t> </w:t>
            </w:r>
            <w:r>
              <w:rPr>
                <w:spacing w:val="-2"/>
              </w:rPr>
              <w:t>Patrimonial</w:t>
            </w:r>
            <w:r>
              <w:rPr>
                <w:rFonts w:ascii="Times New Roman" w:hAnsi="Times New Roman"/>
              </w:rPr>
              <w:tab/>
            </w:r>
            <w:r>
              <w:rPr>
                <w:spacing w:val="-5"/>
              </w:rPr>
              <w:t>11</w:t>
            </w:r>
          </w:hyperlink>
        </w:p>
        <w:p>
          <w:pPr>
            <w:pStyle w:val="TOC4"/>
            <w:tabs>
              <w:tab w:pos="10327" w:val="right" w:leader="dot"/>
            </w:tabs>
            <w:ind w:left="131"/>
          </w:pPr>
          <w:hyperlink w:history="true" w:anchor="_TOC_250021">
            <w:r>
              <w:rPr/>
              <w:t>Demonstração</w:t>
            </w:r>
            <w:r>
              <w:rPr>
                <w:spacing w:val="-6"/>
              </w:rPr>
              <w:t> </w:t>
            </w:r>
            <w:r>
              <w:rPr/>
              <w:t>de</w:t>
            </w:r>
            <w:r>
              <w:rPr>
                <w:spacing w:val="-5"/>
              </w:rPr>
              <w:t> </w:t>
            </w:r>
            <w:r>
              <w:rPr/>
              <w:t>Resultado</w:t>
            </w:r>
            <w:r>
              <w:rPr>
                <w:spacing w:val="-9"/>
              </w:rPr>
              <w:t> </w:t>
            </w:r>
            <w:r>
              <w:rPr/>
              <w:t>do</w:t>
            </w:r>
            <w:r>
              <w:rPr>
                <w:spacing w:val="-5"/>
              </w:rPr>
              <w:t> </w:t>
            </w:r>
            <w:r>
              <w:rPr>
                <w:spacing w:val="-2"/>
              </w:rPr>
              <w:t>exercício</w:t>
            </w:r>
            <w:r>
              <w:rPr>
                <w:rFonts w:ascii="Times New Roman" w:hAnsi="Times New Roman"/>
              </w:rPr>
              <w:tab/>
            </w:r>
            <w:r>
              <w:rPr>
                <w:spacing w:val="-5"/>
              </w:rPr>
              <w:t>12</w:t>
            </w:r>
          </w:hyperlink>
        </w:p>
        <w:p>
          <w:pPr>
            <w:pStyle w:val="TOC4"/>
            <w:tabs>
              <w:tab w:pos="10327" w:val="right" w:leader="dot"/>
            </w:tabs>
            <w:ind w:left="131"/>
          </w:pPr>
          <w:hyperlink w:history="true" w:anchor="_TOC_250020">
            <w:r>
              <w:rPr/>
              <w:t>Demonstração</w:t>
            </w:r>
            <w:r>
              <w:rPr>
                <w:spacing w:val="-6"/>
              </w:rPr>
              <w:t> </w:t>
            </w:r>
            <w:r>
              <w:rPr/>
              <w:t>de</w:t>
            </w:r>
            <w:r>
              <w:rPr>
                <w:spacing w:val="-9"/>
              </w:rPr>
              <w:t> </w:t>
            </w:r>
            <w:r>
              <w:rPr/>
              <w:t>Resultados</w:t>
            </w:r>
            <w:r>
              <w:rPr>
                <w:spacing w:val="-5"/>
              </w:rPr>
              <w:t> </w:t>
            </w:r>
            <w:r>
              <w:rPr>
                <w:spacing w:val="-2"/>
              </w:rPr>
              <w:t>Abrangentes</w:t>
            </w:r>
            <w:r>
              <w:rPr>
                <w:rFonts w:ascii="Times New Roman" w:hAnsi="Times New Roman"/>
              </w:rPr>
              <w:tab/>
            </w:r>
            <w:r>
              <w:rPr>
                <w:spacing w:val="-5"/>
              </w:rPr>
              <w:t>13</w:t>
            </w:r>
          </w:hyperlink>
        </w:p>
        <w:p>
          <w:pPr>
            <w:pStyle w:val="TOC4"/>
            <w:tabs>
              <w:tab w:pos="10327" w:val="right" w:leader="dot"/>
            </w:tabs>
            <w:ind w:left="131"/>
          </w:pPr>
          <w:hyperlink w:history="true" w:anchor="_TOC_250019">
            <w:r>
              <w:rPr/>
              <w:t>Demonstração</w:t>
            </w:r>
            <w:r>
              <w:rPr>
                <w:spacing w:val="-4"/>
              </w:rPr>
              <w:t> </w:t>
            </w:r>
            <w:r>
              <w:rPr/>
              <w:t>dos</w:t>
            </w:r>
            <w:r>
              <w:rPr>
                <w:spacing w:val="-5"/>
              </w:rPr>
              <w:t> </w:t>
            </w:r>
            <w:r>
              <w:rPr/>
              <w:t>Fluxos</w:t>
            </w:r>
            <w:r>
              <w:rPr>
                <w:spacing w:val="-7"/>
              </w:rPr>
              <w:t> </w:t>
            </w:r>
            <w:r>
              <w:rPr/>
              <w:t>de</w:t>
            </w:r>
            <w:r>
              <w:rPr>
                <w:spacing w:val="-3"/>
              </w:rPr>
              <w:t> </w:t>
            </w:r>
            <w:r>
              <w:rPr>
                <w:spacing w:val="-2"/>
              </w:rPr>
              <w:t>Caixa</w:t>
            </w:r>
            <w:r>
              <w:rPr>
                <w:rFonts w:ascii="Times New Roman" w:hAnsi="Times New Roman"/>
              </w:rPr>
              <w:tab/>
            </w:r>
            <w:r>
              <w:rPr>
                <w:spacing w:val="-5"/>
              </w:rPr>
              <w:t>14</w:t>
            </w:r>
          </w:hyperlink>
        </w:p>
        <w:p>
          <w:pPr>
            <w:pStyle w:val="TOC4"/>
            <w:tabs>
              <w:tab w:pos="10327" w:val="right" w:leader="dot"/>
            </w:tabs>
            <w:ind w:left="131"/>
          </w:pPr>
          <w:hyperlink w:history="true" w:anchor="_TOC_250018">
            <w:r>
              <w:rPr/>
              <w:t>Demonstração</w:t>
            </w:r>
            <w:r>
              <w:rPr>
                <w:spacing w:val="-6"/>
              </w:rPr>
              <w:t> </w:t>
            </w:r>
            <w:r>
              <w:rPr/>
              <w:t>das</w:t>
            </w:r>
            <w:r>
              <w:rPr>
                <w:spacing w:val="-5"/>
              </w:rPr>
              <w:t> </w:t>
            </w:r>
            <w:r>
              <w:rPr/>
              <w:t>Mutações</w:t>
            </w:r>
            <w:r>
              <w:rPr>
                <w:spacing w:val="-5"/>
              </w:rPr>
              <w:t> </w:t>
            </w:r>
            <w:r>
              <w:rPr/>
              <w:t>do</w:t>
            </w:r>
            <w:r>
              <w:rPr>
                <w:spacing w:val="-10"/>
              </w:rPr>
              <w:t> </w:t>
            </w:r>
            <w:r>
              <w:rPr/>
              <w:t>Patrimônio</w:t>
            </w:r>
            <w:r>
              <w:rPr>
                <w:spacing w:val="-4"/>
              </w:rPr>
              <w:t> </w:t>
            </w:r>
            <w:r>
              <w:rPr>
                <w:spacing w:val="-2"/>
              </w:rPr>
              <w:t>Líquido</w:t>
            </w:r>
            <w:r>
              <w:rPr>
                <w:rFonts w:ascii="Times New Roman" w:hAnsi="Times New Roman"/>
              </w:rPr>
              <w:tab/>
            </w:r>
            <w:r>
              <w:rPr>
                <w:spacing w:val="-5"/>
              </w:rPr>
              <w:t>15</w:t>
            </w:r>
          </w:hyperlink>
        </w:p>
        <w:p>
          <w:pPr>
            <w:pStyle w:val="TOC4"/>
            <w:tabs>
              <w:tab w:pos="10327" w:val="right" w:leader="dot"/>
            </w:tabs>
            <w:ind w:left="131"/>
          </w:pPr>
          <w:hyperlink w:history="true" w:anchor="_TOC_250017">
            <w:r>
              <w:rPr/>
              <w:t>Demonstração</w:t>
            </w:r>
            <w:r>
              <w:rPr>
                <w:spacing w:val="-4"/>
              </w:rPr>
              <w:t> </w:t>
            </w:r>
            <w:r>
              <w:rPr/>
              <w:t>do</w:t>
            </w:r>
            <w:r>
              <w:rPr>
                <w:spacing w:val="-9"/>
              </w:rPr>
              <w:t> </w:t>
            </w:r>
            <w:r>
              <w:rPr/>
              <w:t>Valor</w:t>
            </w:r>
            <w:r>
              <w:rPr>
                <w:spacing w:val="-6"/>
              </w:rPr>
              <w:t> </w:t>
            </w:r>
            <w:r>
              <w:rPr>
                <w:spacing w:val="-2"/>
              </w:rPr>
              <w:t>Adicionado</w:t>
            </w:r>
            <w:r>
              <w:rPr>
                <w:rFonts w:ascii="Times New Roman" w:hAnsi="Times New Roman"/>
              </w:rPr>
              <w:tab/>
            </w:r>
            <w:r>
              <w:rPr>
                <w:spacing w:val="-5"/>
              </w:rPr>
              <w:t>16</w:t>
            </w:r>
          </w:hyperlink>
        </w:p>
        <w:p>
          <w:pPr>
            <w:pStyle w:val="TOC4"/>
            <w:tabs>
              <w:tab w:pos="10327" w:val="right" w:leader="dot"/>
            </w:tabs>
            <w:ind w:left="131"/>
          </w:pPr>
          <w:hyperlink w:history="true" w:anchor="_TOC_250016">
            <w:r>
              <w:rPr/>
              <w:t>Notas</w:t>
            </w:r>
            <w:r>
              <w:rPr>
                <w:spacing w:val="-5"/>
              </w:rPr>
              <w:t> </w:t>
            </w:r>
            <w:r>
              <w:rPr>
                <w:spacing w:val="-2"/>
              </w:rPr>
              <w:t>explicativas</w:t>
            </w:r>
            <w:r>
              <w:rPr>
                <w:rFonts w:ascii="Times New Roman"/>
              </w:rPr>
              <w:tab/>
            </w:r>
            <w:r>
              <w:rPr>
                <w:spacing w:val="-5"/>
              </w:rPr>
              <w:t>17</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5">
            <w:r>
              <w:rPr/>
              <w:t>A Companhia e</w:t>
            </w:r>
            <w:r>
              <w:rPr>
                <w:spacing w:val="-1"/>
              </w:rPr>
              <w:t> </w:t>
            </w:r>
            <w:r>
              <w:rPr/>
              <w:t>suas</w:t>
            </w:r>
            <w:r>
              <w:rPr>
                <w:spacing w:val="-1"/>
              </w:rPr>
              <w:t> </w:t>
            </w:r>
            <w:r>
              <w:rPr>
                <w:spacing w:val="-2"/>
              </w:rPr>
              <w:t>operações</w:t>
            </w:r>
            <w:r>
              <w:rPr>
                <w:rFonts w:ascii="Times New Roman" w:hAnsi="Times New Roman"/>
              </w:rPr>
              <w:tab/>
            </w:r>
            <w:r>
              <w:rPr>
                <w:spacing w:val="-5"/>
              </w:rPr>
              <w:t>17</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4">
            <w:r>
              <w:rPr/>
              <w:t>Base</w:t>
            </w:r>
            <w:r>
              <w:rPr>
                <w:spacing w:val="-3"/>
              </w:rPr>
              <w:t> </w:t>
            </w:r>
            <w:r>
              <w:rPr/>
              <w:t>de</w:t>
            </w:r>
            <w:r>
              <w:rPr>
                <w:spacing w:val="-2"/>
              </w:rPr>
              <w:t> </w:t>
            </w:r>
            <w:r>
              <w:rPr/>
              <w:t>elaboração</w:t>
            </w:r>
            <w:r>
              <w:rPr>
                <w:spacing w:val="-3"/>
              </w:rPr>
              <w:t> </w:t>
            </w:r>
            <w:r>
              <w:rPr/>
              <w:t>e</w:t>
            </w:r>
            <w:r>
              <w:rPr>
                <w:spacing w:val="-2"/>
              </w:rPr>
              <w:t> </w:t>
            </w:r>
            <w:r>
              <w:rPr/>
              <w:t>apresentação</w:t>
            </w:r>
            <w:r>
              <w:rPr>
                <w:spacing w:val="-4"/>
              </w:rPr>
              <w:t> </w:t>
            </w:r>
            <w:r>
              <w:rPr/>
              <w:t>das</w:t>
            </w:r>
            <w:r>
              <w:rPr>
                <w:spacing w:val="-10"/>
              </w:rPr>
              <w:t> </w:t>
            </w:r>
            <w:r>
              <w:rPr/>
              <w:t>demonstrações</w:t>
            </w:r>
            <w:r>
              <w:rPr>
                <w:spacing w:val="-2"/>
              </w:rPr>
              <w:t> financeiras</w:t>
            </w:r>
            <w:r>
              <w:rPr>
                <w:rFonts w:ascii="Times New Roman" w:hAnsi="Times New Roman"/>
              </w:rPr>
              <w:tab/>
            </w:r>
            <w:r>
              <w:rPr>
                <w:spacing w:val="-5"/>
              </w:rPr>
              <w:t>18</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3">
            <w:r>
              <w:rPr/>
              <w:t>Sumário</w:t>
            </w:r>
            <w:r>
              <w:rPr>
                <w:spacing w:val="-2"/>
              </w:rPr>
              <w:t> </w:t>
            </w:r>
            <w:r>
              <w:rPr/>
              <w:t>das</w:t>
            </w:r>
            <w:r>
              <w:rPr>
                <w:spacing w:val="-2"/>
              </w:rPr>
              <w:t> </w:t>
            </w:r>
            <w:r>
              <w:rPr/>
              <w:t>principais</w:t>
            </w:r>
            <w:r>
              <w:rPr>
                <w:spacing w:val="-7"/>
              </w:rPr>
              <w:t> </w:t>
            </w:r>
            <w:r>
              <w:rPr/>
              <w:t>práticas</w:t>
            </w:r>
            <w:r>
              <w:rPr>
                <w:spacing w:val="-1"/>
              </w:rPr>
              <w:t> </w:t>
            </w:r>
            <w:r>
              <w:rPr>
                <w:spacing w:val="-2"/>
              </w:rPr>
              <w:t>contábeis</w:t>
            </w:r>
            <w:r>
              <w:rPr>
                <w:rFonts w:ascii="Times New Roman" w:hAnsi="Times New Roman"/>
              </w:rPr>
              <w:tab/>
            </w:r>
            <w:r>
              <w:rPr>
                <w:spacing w:val="-5"/>
              </w:rPr>
              <w:t>19</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2">
            <w:r>
              <w:rPr/>
              <w:t>Estimativas</w:t>
            </w:r>
            <w:r>
              <w:rPr>
                <w:spacing w:val="-2"/>
              </w:rPr>
              <w:t> </w:t>
            </w:r>
            <w:r>
              <w:rPr/>
              <w:t>e</w:t>
            </w:r>
            <w:r>
              <w:rPr>
                <w:spacing w:val="-5"/>
              </w:rPr>
              <w:t> </w:t>
            </w:r>
            <w:r>
              <w:rPr/>
              <w:t>julgamentos </w:t>
            </w:r>
            <w:r>
              <w:rPr>
                <w:spacing w:val="-2"/>
              </w:rPr>
              <w:t>relevantes</w:t>
            </w:r>
            <w:r>
              <w:rPr>
                <w:rFonts w:ascii="Times New Roman"/>
              </w:rPr>
              <w:tab/>
            </w:r>
            <w:r>
              <w:rPr>
                <w:spacing w:val="-5"/>
              </w:rPr>
              <w:t>20</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1">
            <w:r>
              <w:rPr/>
              <w:t>Novas</w:t>
            </w:r>
            <w:r>
              <w:rPr>
                <w:spacing w:val="-1"/>
              </w:rPr>
              <w:t> </w:t>
            </w:r>
            <w:r>
              <w:rPr/>
              <w:t>normas</w:t>
            </w:r>
            <w:r>
              <w:rPr>
                <w:spacing w:val="-1"/>
              </w:rPr>
              <w:t> </w:t>
            </w:r>
            <w:r>
              <w:rPr/>
              <w:t>e</w:t>
            </w:r>
            <w:r>
              <w:rPr>
                <w:spacing w:val="-3"/>
              </w:rPr>
              <w:t> </w:t>
            </w:r>
            <w:r>
              <w:rPr>
                <w:spacing w:val="-2"/>
              </w:rPr>
              <w:t>interpretações</w:t>
            </w:r>
            <w:r>
              <w:rPr>
                <w:rFonts w:ascii="Times New Roman" w:hAnsi="Times New Roman"/>
              </w:rPr>
              <w:tab/>
            </w:r>
            <w:r>
              <w:rPr>
                <w:spacing w:val="-5"/>
              </w:rPr>
              <w:t>21</w:t>
            </w:r>
          </w:hyperlink>
        </w:p>
        <w:p>
          <w:pPr>
            <w:pStyle w:val="TOC4"/>
            <w:numPr>
              <w:ilvl w:val="0"/>
              <w:numId w:val="1"/>
            </w:numPr>
            <w:tabs>
              <w:tab w:pos="571" w:val="left" w:leader="none"/>
              <w:tab w:pos="10327" w:val="right" w:leader="dot"/>
            </w:tabs>
            <w:spacing w:line="240" w:lineRule="auto" w:before="0" w:after="0"/>
            <w:ind w:left="571" w:right="0" w:hanging="441"/>
            <w:jc w:val="left"/>
          </w:pPr>
          <w:r>
            <w:rPr/>
            <w:t>Contas</w:t>
          </w:r>
          <w:r>
            <w:rPr>
              <w:spacing w:val="-2"/>
            </w:rPr>
            <w:t> </w:t>
          </w:r>
          <w:r>
            <w:rPr/>
            <w:t>a</w:t>
          </w:r>
          <w:r>
            <w:rPr>
              <w:spacing w:val="-3"/>
            </w:rPr>
            <w:t> </w:t>
          </w:r>
          <w:r>
            <w:rPr>
              <w:spacing w:val="-2"/>
            </w:rPr>
            <w:t>receber</w:t>
          </w:r>
          <w:r>
            <w:rPr>
              <w:rFonts w:ascii="Times New Roman"/>
            </w:rPr>
            <w:tab/>
          </w:r>
          <w:r>
            <w:rPr>
              <w:spacing w:val="-5"/>
            </w:rPr>
            <w:t>23</w:t>
          </w:r>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10">
            <w:r>
              <w:rPr>
                <w:spacing w:val="-2"/>
              </w:rPr>
              <w:t>Estoques</w:t>
            </w:r>
            <w:r>
              <w:rPr>
                <w:rFonts w:ascii="Times New Roman"/>
              </w:rPr>
              <w:tab/>
            </w:r>
            <w:r>
              <w:rPr>
                <w:spacing w:val="-5"/>
              </w:rPr>
              <w:t>25</w:t>
            </w:r>
          </w:hyperlink>
        </w:p>
        <w:p>
          <w:pPr>
            <w:pStyle w:val="TOC3"/>
            <w:numPr>
              <w:ilvl w:val="0"/>
              <w:numId w:val="1"/>
            </w:numPr>
            <w:tabs>
              <w:tab w:pos="571" w:val="left" w:leader="none"/>
              <w:tab w:pos="10327" w:val="right" w:leader="dot"/>
            </w:tabs>
            <w:spacing w:line="240" w:lineRule="auto" w:before="0" w:after="0"/>
            <w:ind w:left="571" w:right="0" w:hanging="441"/>
            <w:jc w:val="left"/>
          </w:pPr>
          <w:hyperlink w:history="true" w:anchor="_TOC_250009">
            <w:r>
              <w:rPr>
                <w:spacing w:val="-2"/>
              </w:rPr>
              <w:t>Fornecedores</w:t>
            </w:r>
            <w:r>
              <w:rPr>
                <w:rFonts w:ascii="Times New Roman"/>
              </w:rPr>
              <w:tab/>
            </w:r>
            <w:r>
              <w:rPr>
                <w:spacing w:val="-5"/>
              </w:rPr>
              <w:t>25</w:t>
            </w:r>
          </w:hyperlink>
        </w:p>
        <w:p>
          <w:pPr>
            <w:pStyle w:val="TOC3"/>
            <w:numPr>
              <w:ilvl w:val="0"/>
              <w:numId w:val="1"/>
            </w:numPr>
            <w:tabs>
              <w:tab w:pos="571" w:val="left" w:leader="none"/>
              <w:tab w:pos="10327" w:val="right" w:leader="dot"/>
            </w:tabs>
            <w:spacing w:line="240" w:lineRule="auto" w:before="1" w:after="0"/>
            <w:ind w:left="571" w:right="0" w:hanging="441"/>
            <w:jc w:val="left"/>
          </w:pPr>
          <w:hyperlink w:history="true" w:anchor="_TOC_250008">
            <w:r>
              <w:rPr/>
              <w:t>Partes</w:t>
            </w:r>
            <w:r>
              <w:rPr>
                <w:spacing w:val="-4"/>
              </w:rPr>
              <w:t> </w:t>
            </w:r>
            <w:r>
              <w:rPr>
                <w:spacing w:val="-2"/>
              </w:rPr>
              <w:t>relacionadas</w:t>
            </w:r>
            <w:r>
              <w:rPr>
                <w:rFonts w:ascii="Times New Roman"/>
              </w:rPr>
              <w:tab/>
            </w:r>
            <w:r>
              <w:rPr>
                <w:spacing w:val="-5"/>
              </w:rPr>
              <w:t>25</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7">
            <w:r>
              <w:rPr>
                <w:spacing w:val="-2"/>
              </w:rPr>
              <w:t>Tributos</w:t>
            </w:r>
            <w:r>
              <w:rPr>
                <w:rFonts w:ascii="Times New Roman"/>
              </w:rPr>
              <w:tab/>
            </w:r>
            <w:r>
              <w:rPr>
                <w:spacing w:val="-5"/>
              </w:rPr>
              <w:t>27</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6">
            <w:r>
              <w:rPr/>
              <w:t>Benefícios</w:t>
            </w:r>
            <w:r>
              <w:rPr>
                <w:spacing w:val="-3"/>
              </w:rPr>
              <w:t> </w:t>
            </w:r>
            <w:r>
              <w:rPr/>
              <w:t>concedidos</w:t>
            </w:r>
            <w:r>
              <w:rPr>
                <w:spacing w:val="-2"/>
              </w:rPr>
              <w:t> </w:t>
            </w:r>
            <w:r>
              <w:rPr/>
              <w:t>a</w:t>
            </w:r>
            <w:r>
              <w:rPr>
                <w:spacing w:val="-7"/>
              </w:rPr>
              <w:t> </w:t>
            </w:r>
            <w:r>
              <w:rPr>
                <w:spacing w:val="-2"/>
              </w:rPr>
              <w:t>empregados</w:t>
            </w:r>
            <w:r>
              <w:rPr>
                <w:rFonts w:ascii="Times New Roman" w:hAnsi="Times New Roman"/>
              </w:rPr>
              <w:tab/>
            </w:r>
            <w:r>
              <w:rPr>
                <w:spacing w:val="-5"/>
              </w:rPr>
              <w:t>29</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5">
            <w:r>
              <w:rPr/>
              <w:t>Patrimônio</w:t>
            </w:r>
            <w:r>
              <w:rPr>
                <w:spacing w:val="-10"/>
              </w:rPr>
              <w:t> </w:t>
            </w:r>
            <w:r>
              <w:rPr>
                <w:spacing w:val="-2"/>
              </w:rPr>
              <w:t>líquido</w:t>
            </w:r>
            <w:r>
              <w:rPr>
                <w:rFonts w:ascii="Times New Roman" w:hAnsi="Times New Roman"/>
              </w:rPr>
              <w:tab/>
            </w:r>
            <w:r>
              <w:rPr>
                <w:spacing w:val="-5"/>
              </w:rPr>
              <w:t>31</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4">
            <w:r>
              <w:rPr/>
              <w:t>Despesas</w:t>
            </w:r>
            <w:r>
              <w:rPr>
                <w:spacing w:val="-5"/>
              </w:rPr>
              <w:t> </w:t>
            </w:r>
            <w:r>
              <w:rPr/>
              <w:t>por</w:t>
            </w:r>
            <w:r>
              <w:rPr>
                <w:spacing w:val="-2"/>
              </w:rPr>
              <w:t> natureza</w:t>
            </w:r>
            <w:r>
              <w:rPr>
                <w:rFonts w:ascii="Times New Roman"/>
              </w:rPr>
              <w:tab/>
            </w:r>
            <w:r>
              <w:rPr>
                <w:spacing w:val="-5"/>
              </w:rPr>
              <w:t>32</w:t>
            </w:r>
          </w:hyperlink>
        </w:p>
        <w:p>
          <w:pPr>
            <w:pStyle w:val="TOC4"/>
            <w:numPr>
              <w:ilvl w:val="0"/>
              <w:numId w:val="1"/>
            </w:numPr>
            <w:tabs>
              <w:tab w:pos="791" w:val="left" w:leader="none"/>
              <w:tab w:pos="10327" w:val="right" w:leader="dot"/>
            </w:tabs>
            <w:spacing w:line="240" w:lineRule="auto" w:before="0" w:after="0"/>
            <w:ind w:left="791" w:right="0" w:hanging="661"/>
            <w:jc w:val="left"/>
          </w:pPr>
          <w:r>
            <w:rPr/>
            <w:t>Outras</w:t>
          </w:r>
          <w:r>
            <w:rPr>
              <w:spacing w:val="-5"/>
            </w:rPr>
            <w:t> </w:t>
          </w:r>
          <w:r>
            <w:rPr/>
            <w:t>despesas </w:t>
          </w:r>
          <w:r>
            <w:rPr>
              <w:spacing w:val="-2"/>
            </w:rPr>
            <w:t>líquidas.</w:t>
          </w:r>
          <w:r>
            <w:rPr>
              <w:rFonts w:ascii="Times New Roman" w:hAnsi="Times New Roman"/>
            </w:rPr>
            <w:tab/>
          </w:r>
          <w:r>
            <w:rPr>
              <w:spacing w:val="-5"/>
            </w:rPr>
            <w:t>33</w:t>
          </w:r>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3">
            <w:r>
              <w:rPr/>
              <w:t>Resultado</w:t>
            </w:r>
            <w:r>
              <w:rPr>
                <w:spacing w:val="-2"/>
              </w:rPr>
              <w:t> </w:t>
            </w:r>
            <w:r>
              <w:rPr/>
              <w:t>financeiro,</w:t>
            </w:r>
            <w:r>
              <w:rPr>
                <w:spacing w:val="-1"/>
              </w:rPr>
              <w:t> </w:t>
            </w:r>
            <w:r>
              <w:rPr>
                <w:spacing w:val="-2"/>
              </w:rPr>
              <w:t>líquido</w:t>
            </w:r>
            <w:r>
              <w:rPr>
                <w:rFonts w:ascii="Times New Roman" w:hAnsi="Times New Roman"/>
              </w:rPr>
              <w:tab/>
            </w:r>
            <w:r>
              <w:rPr>
                <w:spacing w:val="-7"/>
              </w:rPr>
              <w:t>33</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2">
            <w:r>
              <w:rPr/>
              <w:t>Processos</w:t>
            </w:r>
            <w:r>
              <w:rPr>
                <w:spacing w:val="-1"/>
              </w:rPr>
              <w:t> </w:t>
            </w:r>
            <w:r>
              <w:rPr/>
              <w:t>judiciais</w:t>
            </w:r>
            <w:r>
              <w:rPr>
                <w:spacing w:val="-2"/>
              </w:rPr>
              <w:t> </w:t>
            </w:r>
            <w:r>
              <w:rPr/>
              <w:t>e</w:t>
            </w:r>
            <w:r>
              <w:rPr>
                <w:spacing w:val="-3"/>
              </w:rPr>
              <w:t> </w:t>
            </w:r>
            <w:r>
              <w:rPr>
                <w:spacing w:val="-2"/>
              </w:rPr>
              <w:t>contingências</w:t>
            </w:r>
            <w:r>
              <w:rPr>
                <w:rFonts w:ascii="Times New Roman" w:hAnsi="Times New Roman"/>
              </w:rPr>
              <w:tab/>
            </w:r>
            <w:r>
              <w:rPr>
                <w:spacing w:val="-5"/>
              </w:rPr>
              <w:t>33</w:t>
            </w:r>
          </w:hyperlink>
        </w:p>
        <w:p>
          <w:pPr>
            <w:pStyle w:val="TOC3"/>
            <w:numPr>
              <w:ilvl w:val="0"/>
              <w:numId w:val="1"/>
            </w:numPr>
            <w:tabs>
              <w:tab w:pos="791" w:val="left" w:leader="none"/>
              <w:tab w:pos="10327" w:val="right" w:leader="dot"/>
            </w:tabs>
            <w:spacing w:line="240" w:lineRule="auto" w:before="0" w:after="0"/>
            <w:ind w:left="791" w:right="0" w:hanging="661"/>
            <w:jc w:val="left"/>
          </w:pPr>
          <w:hyperlink w:history="true" w:anchor="_TOC_250001">
            <w:r>
              <w:rPr/>
              <w:t>Gerenciamento</w:t>
            </w:r>
            <w:r>
              <w:rPr>
                <w:spacing w:val="-9"/>
              </w:rPr>
              <w:t> </w:t>
            </w:r>
            <w:r>
              <w:rPr/>
              <w:t>de</w:t>
            </w:r>
            <w:r>
              <w:rPr>
                <w:spacing w:val="-9"/>
              </w:rPr>
              <w:t> </w:t>
            </w:r>
            <w:r>
              <w:rPr>
                <w:spacing w:val="-2"/>
              </w:rPr>
              <w:t>riscos</w:t>
            </w:r>
            <w:r>
              <w:rPr>
                <w:rFonts w:ascii="Times New Roman"/>
              </w:rPr>
              <w:tab/>
            </w:r>
            <w:r>
              <w:rPr>
                <w:spacing w:val="-5"/>
              </w:rPr>
              <w:t>35</w:t>
            </w:r>
          </w:hyperlink>
        </w:p>
        <w:p>
          <w:pPr>
            <w:pStyle w:val="TOC4"/>
            <w:tabs>
              <w:tab w:pos="10327" w:val="right" w:leader="dot"/>
            </w:tabs>
            <w:ind w:left="131"/>
          </w:pPr>
          <w:hyperlink w:history="true" w:anchor="_TOC_250000">
            <w:r>
              <w:rPr/>
              <w:t>Diretoria</w:t>
            </w:r>
            <w:r>
              <w:rPr>
                <w:spacing w:val="-1"/>
              </w:rPr>
              <w:t> </w:t>
            </w:r>
            <w:r>
              <w:rPr>
                <w:spacing w:val="-2"/>
              </w:rPr>
              <w:t>Executiva</w:t>
            </w:r>
            <w:r>
              <w:rPr>
                <w:rFonts w:ascii="Times New Roman"/>
              </w:rPr>
              <w:tab/>
            </w:r>
            <w:r>
              <w:rPr>
                <w:spacing w:val="-5"/>
              </w:rPr>
              <w:t>38</w:t>
            </w:r>
          </w:hyperlink>
        </w:p>
      </w:sdtContent>
    </w:sdt>
    <w:p>
      <w:pPr>
        <w:spacing w:after="0"/>
        <w:sectPr>
          <w:pgSz w:w="11910" w:h="16840"/>
          <w:pgMar w:top="520" w:bottom="280" w:left="720" w:right="700"/>
        </w:sectPr>
      </w:pPr>
    </w:p>
    <w:p>
      <w:pPr>
        <w:pStyle w:val="BodyText"/>
        <w:rPr>
          <w:sz w:val="56"/>
        </w:rPr>
      </w:pPr>
      <w:r>
        <w:rPr/>
        <w:drawing>
          <wp:anchor distT="0" distB="0" distL="0" distR="0" allowOverlap="1" layoutInCell="1" locked="0" behindDoc="0" simplePos="0" relativeHeight="15729152">
            <wp:simplePos x="0" y="0"/>
            <wp:positionH relativeFrom="page">
              <wp:posOffset>0</wp:posOffset>
            </wp:positionH>
            <wp:positionV relativeFrom="page">
              <wp:posOffset>253</wp:posOffset>
            </wp:positionV>
            <wp:extent cx="7556754" cy="4981702"/>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56754" cy="4981702"/>
                    </a:xfrm>
                    <a:prstGeom prst="rect">
                      <a:avLst/>
                    </a:prstGeom>
                  </pic:spPr>
                </pic:pic>
              </a:graphicData>
            </a:graphic>
          </wp:anchor>
        </w:drawing>
      </w: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8852916</wp:posOffset>
                </wp:positionV>
                <wp:extent cx="7557134" cy="146685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557134" cy="1466850"/>
                          <a:chExt cx="7557134" cy="1466850"/>
                        </a:xfrm>
                      </wpg:grpSpPr>
                      <pic:pic>
                        <pic:nvPicPr>
                          <pic:cNvPr id="4" name="Image 4"/>
                          <pic:cNvPicPr/>
                        </pic:nvPicPr>
                        <pic:blipFill>
                          <a:blip r:embed="rId6" cstate="print"/>
                          <a:stretch>
                            <a:fillRect/>
                          </a:stretch>
                        </pic:blipFill>
                        <pic:spPr>
                          <a:xfrm>
                            <a:off x="0" y="0"/>
                            <a:ext cx="7556754" cy="1466850"/>
                          </a:xfrm>
                          <a:prstGeom prst="rect">
                            <a:avLst/>
                          </a:prstGeom>
                        </pic:spPr>
                      </pic:pic>
                      <wps:wsp>
                        <wps:cNvPr id="5" name="Textbox 5"/>
                        <wps:cNvSpPr txBox="1"/>
                        <wps:spPr>
                          <a:xfrm>
                            <a:off x="6417562" y="1012072"/>
                            <a:ext cx="75565" cy="140970"/>
                          </a:xfrm>
                          <a:prstGeom prst="rect">
                            <a:avLst/>
                          </a:prstGeom>
                        </wps:spPr>
                        <wps:txbx>
                          <w:txbxContent>
                            <w:p>
                              <w:pPr>
                                <w:spacing w:line="222" w:lineRule="exact" w:before="0"/>
                                <w:ind w:left="0" w:right="0" w:firstLine="0"/>
                                <w:jc w:val="left"/>
                                <w:rPr>
                                  <w:rFonts w:ascii="Times New Roman"/>
                                  <w:sz w:val="20"/>
                                </w:rPr>
                              </w:pPr>
                              <w:r>
                                <w:rPr>
                                  <w:rFonts w:ascii="Times New Roman"/>
                                  <w:spacing w:val="-10"/>
                                  <w:sz w:val="20"/>
                                </w:rPr>
                                <w:t>0</w:t>
                              </w:r>
                            </w:p>
                          </w:txbxContent>
                        </wps:txbx>
                        <wps:bodyPr wrap="square" lIns="0" tIns="0" rIns="0" bIns="0" rtlCol="0">
                          <a:noAutofit/>
                        </wps:bodyPr>
                      </wps:wsp>
                    </wpg:wgp>
                  </a:graphicData>
                </a:graphic>
              </wp:anchor>
            </w:drawing>
          </mc:Choice>
          <mc:Fallback>
            <w:pict>
              <v:group style="position:absolute;margin-left:0pt;margin-top:697.080017pt;width:595.050pt;height:115.5pt;mso-position-horizontal-relative:page;mso-position-vertical-relative:page;z-index:15729664" id="docshapegroup1" coordorigin="0,13942" coordsize="11901,2310">
                <v:shape style="position:absolute;left:0;top:13941;width:11901;height:2310" type="#_x0000_t75" id="docshape2" stroked="false">
                  <v:imagedata r:id="rId6" o:title=""/>
                </v:shape>
                <v:shapetype id="_x0000_t202" o:spt="202" coordsize="21600,21600" path="m,l,21600r21600,l21600,xe">
                  <v:stroke joinstyle="miter"/>
                  <v:path gradientshapeok="t" o:connecttype="rect"/>
                </v:shapetype>
                <v:shape style="position:absolute;left:10106;top:15535;width:119;height:222" type="#_x0000_t202" id="docshape3" filled="false" stroked="false">
                  <v:textbox inset="0,0,0,0">
                    <w:txbxContent>
                      <w:p>
                        <w:pPr>
                          <w:spacing w:line="222" w:lineRule="exact" w:before="0"/>
                          <w:ind w:left="0" w:right="0" w:firstLine="0"/>
                          <w:jc w:val="left"/>
                          <w:rPr>
                            <w:rFonts w:ascii="Times New Roman"/>
                            <w:sz w:val="20"/>
                          </w:rPr>
                        </w:pPr>
                        <w:r>
                          <w:rPr>
                            <w:rFonts w:ascii="Times New Roman"/>
                            <w:spacing w:val="-10"/>
                            <w:sz w:val="20"/>
                          </w:rPr>
                          <w:t>0</w:t>
                        </w:r>
                      </w:p>
                    </w:txbxContent>
                  </v:textbox>
                  <w10:wrap type="none"/>
                </v:shape>
                <w10:wrap type="none"/>
              </v:group>
            </w:pict>
          </mc:Fallback>
        </mc:AlternateContent>
      </w: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rPr>
          <w:sz w:val="56"/>
        </w:rPr>
      </w:pPr>
    </w:p>
    <w:p>
      <w:pPr>
        <w:pStyle w:val="BodyText"/>
        <w:spacing w:before="378"/>
        <w:rPr>
          <w:sz w:val="56"/>
        </w:rPr>
      </w:pPr>
    </w:p>
    <w:p>
      <w:pPr>
        <w:pStyle w:val="Heading2"/>
        <w:ind w:right="135"/>
      </w:pPr>
      <w:bookmarkStart w:name="_TOC_250024" w:id="1"/>
      <w:r>
        <w:rPr/>
        <w:t>RELATÓRIO</w:t>
      </w:r>
      <w:r>
        <w:rPr>
          <w:spacing w:val="-4"/>
        </w:rPr>
        <w:t> </w:t>
      </w:r>
      <w:r>
        <w:rPr/>
        <w:t>DA</w:t>
      </w:r>
      <w:r>
        <w:rPr>
          <w:spacing w:val="-5"/>
        </w:rPr>
        <w:t> </w:t>
      </w:r>
      <w:bookmarkEnd w:id="1"/>
      <w:r>
        <w:rPr>
          <w:spacing w:val="-2"/>
        </w:rPr>
        <w:t>ADMINISTRAÇÃO</w:t>
      </w:r>
    </w:p>
    <w:p>
      <w:pPr>
        <w:pStyle w:val="BodyText"/>
        <w:spacing w:before="321"/>
        <w:rPr>
          <w:b/>
          <w:sz w:val="56"/>
        </w:rPr>
      </w:pPr>
    </w:p>
    <w:p>
      <w:pPr>
        <w:spacing w:before="0"/>
        <w:ind w:left="115" w:right="122" w:firstLine="0"/>
        <w:jc w:val="center"/>
        <w:rPr>
          <w:b/>
          <w:sz w:val="40"/>
        </w:rPr>
      </w:pPr>
      <w:r>
        <w:rPr>
          <w:b/>
          <w:sz w:val="40"/>
        </w:rPr>
        <w:t>Araucária</w:t>
      </w:r>
      <w:r>
        <w:rPr>
          <w:b/>
          <w:spacing w:val="-21"/>
          <w:sz w:val="40"/>
        </w:rPr>
        <w:t> </w:t>
      </w:r>
      <w:r>
        <w:rPr>
          <w:b/>
          <w:sz w:val="40"/>
        </w:rPr>
        <w:t>Nitrogenados</w:t>
      </w:r>
      <w:r>
        <w:rPr>
          <w:b/>
          <w:spacing w:val="-20"/>
          <w:sz w:val="40"/>
        </w:rPr>
        <w:t> </w:t>
      </w:r>
      <w:r>
        <w:rPr>
          <w:b/>
          <w:spacing w:val="-4"/>
          <w:sz w:val="40"/>
        </w:rPr>
        <w:t>S.A.</w:t>
      </w:r>
    </w:p>
    <w:p>
      <w:pPr>
        <w:spacing w:before="160"/>
        <w:ind w:left="135" w:right="20" w:firstLine="0"/>
        <w:jc w:val="center"/>
        <w:rPr>
          <w:b/>
          <w:sz w:val="56"/>
        </w:rPr>
      </w:pPr>
      <w:r>
        <w:rPr>
          <w:b/>
          <w:sz w:val="56"/>
        </w:rPr>
        <w:t>‐</w:t>
      </w:r>
      <w:r>
        <w:rPr>
          <w:b/>
          <w:spacing w:val="-4"/>
          <w:sz w:val="56"/>
        </w:rPr>
        <w:t> </w:t>
      </w:r>
      <w:r>
        <w:rPr>
          <w:b/>
          <w:sz w:val="56"/>
        </w:rPr>
        <w:t>2022</w:t>
      </w:r>
      <w:r>
        <w:rPr>
          <w:b/>
          <w:spacing w:val="-1"/>
          <w:sz w:val="56"/>
        </w:rPr>
        <w:t> </w:t>
      </w:r>
      <w:r>
        <w:rPr>
          <w:b/>
          <w:spacing w:val="-10"/>
          <w:sz w:val="56"/>
        </w:rPr>
        <w:t>‐</w:t>
      </w:r>
    </w:p>
    <w:p>
      <w:pPr>
        <w:spacing w:after="0"/>
        <w:jc w:val="center"/>
        <w:rPr>
          <w:sz w:val="56"/>
        </w:rPr>
        <w:sectPr>
          <w:pgSz w:w="11910" w:h="16840"/>
          <w:pgMar w:top="0" w:bottom="280" w:left="720" w:right="700"/>
        </w:sectPr>
      </w:pPr>
    </w:p>
    <w:p>
      <w:pPr>
        <w:spacing w:before="119"/>
        <w:ind w:left="981" w:right="0" w:firstLine="0"/>
        <w:jc w:val="left"/>
        <w:rPr>
          <w:b/>
          <w:sz w:val="28"/>
        </w:rPr>
      </w:pPr>
      <w:r>
        <w:rPr>
          <w:b/>
          <w:color w:val="1E3762"/>
          <w:spacing w:val="-2"/>
          <w:sz w:val="28"/>
        </w:rPr>
        <w:t>Sumário:</w:t>
      </w:r>
    </w:p>
    <w:p>
      <w:pPr>
        <w:pStyle w:val="BodyText"/>
        <w:rPr>
          <w:b/>
          <w:sz w:val="28"/>
        </w:rPr>
      </w:pPr>
    </w:p>
    <w:p>
      <w:pPr>
        <w:pStyle w:val="BodyText"/>
        <w:spacing w:before="320"/>
        <w:rPr>
          <w:b/>
          <w:sz w:val="28"/>
        </w:rPr>
      </w:pPr>
    </w:p>
    <w:p>
      <w:pPr>
        <w:pStyle w:val="Heading4"/>
        <w:numPr>
          <w:ilvl w:val="1"/>
          <w:numId w:val="1"/>
        </w:numPr>
        <w:tabs>
          <w:tab w:pos="1688" w:val="left" w:leader="none"/>
          <w:tab w:pos="6761" w:val="right" w:leader="none"/>
        </w:tabs>
        <w:spacing w:line="240" w:lineRule="auto" w:before="0" w:after="0"/>
        <w:ind w:left="1688" w:right="0" w:hanging="707"/>
        <w:jc w:val="left"/>
      </w:pPr>
      <w:r>
        <w:rPr/>
        <w:t>Araucária</w:t>
      </w:r>
      <w:r>
        <w:rPr>
          <w:spacing w:val="-5"/>
        </w:rPr>
        <w:t> </w:t>
      </w:r>
      <w:r>
        <w:rPr/>
        <w:t>Nitrogenados</w:t>
      </w:r>
      <w:r>
        <w:rPr>
          <w:spacing w:val="-4"/>
        </w:rPr>
        <w:t> S.A.</w:t>
      </w:r>
      <w:r>
        <w:rPr>
          <w:rFonts w:ascii="Times New Roman" w:hAnsi="Times New Roman"/>
        </w:rPr>
        <w:tab/>
      </w:r>
      <w:r>
        <w:rPr>
          <w:spacing w:val="-10"/>
        </w:rPr>
        <w:t>5</w:t>
      </w:r>
    </w:p>
    <w:p>
      <w:pPr>
        <w:pStyle w:val="Heading4"/>
        <w:numPr>
          <w:ilvl w:val="1"/>
          <w:numId w:val="1"/>
        </w:numPr>
        <w:tabs>
          <w:tab w:pos="1688" w:val="left" w:leader="none"/>
          <w:tab w:pos="6765" w:val="right" w:leader="none"/>
        </w:tabs>
        <w:spacing w:line="240" w:lineRule="auto" w:before="0" w:after="0"/>
        <w:ind w:left="1688" w:right="0" w:hanging="707"/>
        <w:jc w:val="left"/>
      </w:pPr>
      <w:r>
        <w:rPr/>
        <w:t>Compromissos</w:t>
      </w:r>
      <w:r>
        <w:rPr>
          <w:spacing w:val="-5"/>
        </w:rPr>
        <w:t> </w:t>
      </w:r>
      <w:r>
        <w:rPr/>
        <w:t>pós</w:t>
      </w:r>
      <w:r>
        <w:rPr>
          <w:spacing w:val="-4"/>
        </w:rPr>
        <w:t> </w:t>
      </w:r>
      <w:r>
        <w:rPr>
          <w:spacing w:val="-2"/>
        </w:rPr>
        <w:t>hibernação</w:t>
      </w:r>
      <w:r>
        <w:rPr>
          <w:rFonts w:ascii="Times New Roman" w:hAnsi="Times New Roman"/>
        </w:rPr>
        <w:tab/>
      </w:r>
      <w:r>
        <w:rPr>
          <w:spacing w:val="-12"/>
        </w:rPr>
        <w:t>6</w:t>
      </w:r>
    </w:p>
    <w:p>
      <w:pPr>
        <w:pStyle w:val="Heading4"/>
        <w:numPr>
          <w:ilvl w:val="1"/>
          <w:numId w:val="1"/>
        </w:numPr>
        <w:tabs>
          <w:tab w:pos="1688" w:val="left" w:leader="none"/>
          <w:tab w:pos="6768" w:val="right" w:leader="none"/>
        </w:tabs>
        <w:spacing w:line="240" w:lineRule="auto" w:before="1" w:after="0"/>
        <w:ind w:left="1688" w:right="0" w:hanging="707"/>
        <w:jc w:val="left"/>
      </w:pPr>
      <w:r>
        <w:rPr/>
        <w:t>Andamento</w:t>
      </w:r>
      <w:r>
        <w:rPr>
          <w:spacing w:val="-4"/>
        </w:rPr>
        <w:t> </w:t>
      </w:r>
      <w:r>
        <w:rPr/>
        <w:t>do</w:t>
      </w:r>
      <w:r>
        <w:rPr>
          <w:spacing w:val="-4"/>
        </w:rPr>
        <w:t> </w:t>
      </w:r>
      <w:r>
        <w:rPr/>
        <w:t>processo</w:t>
      </w:r>
      <w:r>
        <w:rPr>
          <w:spacing w:val="-8"/>
        </w:rPr>
        <w:t> </w:t>
      </w:r>
      <w:r>
        <w:rPr/>
        <w:t>de</w:t>
      </w:r>
      <w:r>
        <w:rPr>
          <w:spacing w:val="-3"/>
        </w:rPr>
        <w:t> </w:t>
      </w:r>
      <w:r>
        <w:rPr>
          <w:spacing w:val="-2"/>
        </w:rPr>
        <w:t>desinvestimento</w:t>
      </w:r>
      <w:r>
        <w:rPr>
          <w:rFonts w:ascii="Times New Roman"/>
        </w:rPr>
        <w:tab/>
      </w:r>
      <w:r>
        <w:rPr>
          <w:spacing w:val="-12"/>
        </w:rPr>
        <w:t>6</w:t>
      </w:r>
    </w:p>
    <w:p>
      <w:pPr>
        <w:pStyle w:val="Heading4"/>
        <w:numPr>
          <w:ilvl w:val="1"/>
          <w:numId w:val="1"/>
        </w:numPr>
        <w:tabs>
          <w:tab w:pos="1688" w:val="left" w:leader="none"/>
          <w:tab w:pos="6761" w:val="right" w:leader="none"/>
        </w:tabs>
        <w:spacing w:line="240" w:lineRule="auto" w:before="0" w:after="0"/>
        <w:ind w:left="1688" w:right="0" w:hanging="707"/>
        <w:jc w:val="left"/>
      </w:pPr>
      <w:r>
        <w:rPr/>
        <w:t>Resultados</w:t>
      </w:r>
      <w:r>
        <w:rPr>
          <w:spacing w:val="-1"/>
        </w:rPr>
        <w:t> </w:t>
      </w:r>
      <w:r>
        <w:rPr>
          <w:spacing w:val="-2"/>
        </w:rPr>
        <w:t>financeiros</w:t>
      </w:r>
      <w:r>
        <w:rPr>
          <w:rFonts w:ascii="Times New Roman"/>
        </w:rPr>
        <w:tab/>
      </w:r>
      <w:r>
        <w:rPr>
          <w:spacing w:val="-10"/>
        </w:rPr>
        <w:t>7</w:t>
      </w:r>
    </w:p>
    <w:p>
      <w:pPr>
        <w:pStyle w:val="Heading4"/>
        <w:numPr>
          <w:ilvl w:val="1"/>
          <w:numId w:val="1"/>
        </w:numPr>
        <w:tabs>
          <w:tab w:pos="1688" w:val="left" w:leader="none"/>
          <w:tab w:pos="6768" w:val="right" w:leader="none"/>
        </w:tabs>
        <w:spacing w:line="240" w:lineRule="auto" w:before="0" w:after="0"/>
        <w:ind w:left="1688" w:right="0" w:hanging="707"/>
        <w:jc w:val="left"/>
      </w:pPr>
      <w:r>
        <w:rPr/>
        <w:t>Membros</w:t>
      </w:r>
      <w:r>
        <w:rPr>
          <w:spacing w:val="-3"/>
        </w:rPr>
        <w:t> </w:t>
      </w:r>
      <w:r>
        <w:rPr/>
        <w:t>da</w:t>
      </w:r>
      <w:r>
        <w:rPr>
          <w:spacing w:val="-3"/>
        </w:rPr>
        <w:t> </w:t>
      </w:r>
      <w:r>
        <w:rPr/>
        <w:t>Diretoria</w:t>
      </w:r>
      <w:r>
        <w:rPr>
          <w:spacing w:val="-4"/>
        </w:rPr>
        <w:t> </w:t>
      </w:r>
      <w:r>
        <w:rPr/>
        <w:t>Executiva</w:t>
      </w:r>
      <w:r>
        <w:rPr>
          <w:spacing w:val="-1"/>
        </w:rPr>
        <w:t> </w:t>
      </w:r>
      <w:r>
        <w:rPr>
          <w:spacing w:val="-2"/>
        </w:rPr>
        <w:t>(2022)</w:t>
      </w:r>
      <w:r>
        <w:rPr>
          <w:rFonts w:ascii="Times New Roman"/>
        </w:rPr>
        <w:tab/>
      </w:r>
      <w:r>
        <w:rPr>
          <w:spacing w:val="-12"/>
        </w:rPr>
        <w:t>7</w:t>
      </w:r>
    </w:p>
    <w:p>
      <w:pPr>
        <w:spacing w:after="0" w:line="240" w:lineRule="auto"/>
        <w:jc w:val="left"/>
        <w:sectPr>
          <w:pgSz w:w="11910" w:h="16840"/>
          <w:pgMar w:top="1940" w:bottom="280" w:left="720" w:right="700"/>
        </w:sectPr>
      </w:pPr>
    </w:p>
    <w:p>
      <w:pPr>
        <w:pStyle w:val="ListParagraph"/>
        <w:numPr>
          <w:ilvl w:val="0"/>
          <w:numId w:val="2"/>
        </w:numPr>
        <w:tabs>
          <w:tab w:pos="1700" w:val="left" w:leader="none"/>
        </w:tabs>
        <w:spacing w:line="240" w:lineRule="auto" w:before="39" w:after="0"/>
        <w:ind w:left="1700" w:right="0" w:hanging="359"/>
        <w:jc w:val="both"/>
        <w:rPr>
          <w:b/>
          <w:sz w:val="28"/>
        </w:rPr>
      </w:pPr>
      <w:r>
        <w:rPr>
          <w:b/>
          <w:color w:val="1E3762"/>
          <w:sz w:val="28"/>
          <w:u w:val="single" w:color="1E3762"/>
        </w:rPr>
        <w:t>Araucária</w:t>
      </w:r>
      <w:r>
        <w:rPr>
          <w:b/>
          <w:color w:val="1E3762"/>
          <w:spacing w:val="-14"/>
          <w:sz w:val="28"/>
          <w:u w:val="single" w:color="1E3762"/>
        </w:rPr>
        <w:t> </w:t>
      </w:r>
      <w:r>
        <w:rPr>
          <w:b/>
          <w:color w:val="1E3762"/>
          <w:sz w:val="28"/>
          <w:u w:val="single" w:color="1E3762"/>
        </w:rPr>
        <w:t>Nitrogenados</w:t>
      </w:r>
      <w:r>
        <w:rPr>
          <w:b/>
          <w:color w:val="1E3762"/>
          <w:spacing w:val="-14"/>
          <w:sz w:val="28"/>
          <w:u w:val="single" w:color="1E3762"/>
        </w:rPr>
        <w:t> </w:t>
      </w:r>
      <w:r>
        <w:rPr>
          <w:b/>
          <w:color w:val="1E3762"/>
          <w:spacing w:val="-4"/>
          <w:sz w:val="28"/>
          <w:u w:val="single" w:color="1E3762"/>
        </w:rPr>
        <w:t>S.A.</w:t>
      </w:r>
    </w:p>
    <w:p>
      <w:pPr>
        <w:spacing w:before="160"/>
        <w:ind w:left="981" w:right="985" w:firstLine="852"/>
        <w:jc w:val="both"/>
        <w:rPr>
          <w:sz w:val="24"/>
        </w:rPr>
      </w:pPr>
      <w:r>
        <w:rPr>
          <w:sz w:val="24"/>
        </w:rPr>
        <w:t>Adquirida em 01/06/2013, a Araucária Nitrogenados S.A. ‐ ANSA é uma subsidiária</w:t>
      </w:r>
      <w:r>
        <w:rPr>
          <w:spacing w:val="-4"/>
          <w:sz w:val="24"/>
        </w:rPr>
        <w:t> </w:t>
      </w:r>
      <w:r>
        <w:rPr>
          <w:sz w:val="24"/>
        </w:rPr>
        <w:t>integral</w:t>
      </w:r>
      <w:r>
        <w:rPr>
          <w:spacing w:val="-6"/>
          <w:sz w:val="24"/>
        </w:rPr>
        <w:t> </w:t>
      </w:r>
      <w:r>
        <w:rPr>
          <w:sz w:val="24"/>
        </w:rPr>
        <w:t>da</w:t>
      </w:r>
      <w:r>
        <w:rPr>
          <w:spacing w:val="-6"/>
          <w:sz w:val="24"/>
        </w:rPr>
        <w:t> </w:t>
      </w:r>
      <w:r>
        <w:rPr>
          <w:sz w:val="24"/>
        </w:rPr>
        <w:t>Petrobras</w:t>
      </w:r>
      <w:r>
        <w:rPr>
          <w:spacing w:val="-4"/>
          <w:sz w:val="24"/>
        </w:rPr>
        <w:t> </w:t>
      </w:r>
      <w:r>
        <w:rPr>
          <w:sz w:val="24"/>
        </w:rPr>
        <w:t>que</w:t>
      </w:r>
      <w:r>
        <w:rPr>
          <w:spacing w:val="-6"/>
          <w:sz w:val="24"/>
        </w:rPr>
        <w:t> </w:t>
      </w:r>
      <w:r>
        <w:rPr>
          <w:sz w:val="24"/>
        </w:rPr>
        <w:t>está</w:t>
      </w:r>
      <w:r>
        <w:rPr>
          <w:spacing w:val="-6"/>
          <w:sz w:val="24"/>
        </w:rPr>
        <w:t> </w:t>
      </w:r>
      <w:r>
        <w:rPr>
          <w:sz w:val="24"/>
        </w:rPr>
        <w:t>situada</w:t>
      </w:r>
      <w:r>
        <w:rPr>
          <w:spacing w:val="-5"/>
          <w:sz w:val="24"/>
        </w:rPr>
        <w:t> </w:t>
      </w:r>
      <w:r>
        <w:rPr>
          <w:sz w:val="24"/>
        </w:rPr>
        <w:t>no</w:t>
      </w:r>
      <w:r>
        <w:rPr>
          <w:spacing w:val="-6"/>
          <w:sz w:val="24"/>
        </w:rPr>
        <w:t> </w:t>
      </w:r>
      <w:r>
        <w:rPr>
          <w:sz w:val="24"/>
        </w:rPr>
        <w:t>estado</w:t>
      </w:r>
      <w:r>
        <w:rPr>
          <w:spacing w:val="-4"/>
          <w:sz w:val="24"/>
        </w:rPr>
        <w:t> </w:t>
      </w:r>
      <w:r>
        <w:rPr>
          <w:sz w:val="24"/>
        </w:rPr>
        <w:t>do</w:t>
      </w:r>
      <w:r>
        <w:rPr>
          <w:spacing w:val="-6"/>
          <w:sz w:val="24"/>
        </w:rPr>
        <w:t> </w:t>
      </w:r>
      <w:r>
        <w:rPr>
          <w:sz w:val="24"/>
        </w:rPr>
        <w:t>Paraná,</w:t>
      </w:r>
      <w:r>
        <w:rPr>
          <w:spacing w:val="-5"/>
          <w:sz w:val="24"/>
        </w:rPr>
        <w:t> </w:t>
      </w:r>
      <w:r>
        <w:rPr>
          <w:sz w:val="24"/>
        </w:rPr>
        <w:t>com</w:t>
      </w:r>
      <w:r>
        <w:rPr>
          <w:spacing w:val="-4"/>
          <w:sz w:val="24"/>
        </w:rPr>
        <w:t> </w:t>
      </w:r>
      <w:r>
        <w:rPr>
          <w:sz w:val="24"/>
        </w:rPr>
        <w:t>atuação</w:t>
      </w:r>
      <w:r>
        <w:rPr>
          <w:spacing w:val="-4"/>
          <w:sz w:val="24"/>
        </w:rPr>
        <w:t> </w:t>
      </w:r>
      <w:r>
        <w:rPr>
          <w:sz w:val="24"/>
        </w:rPr>
        <w:t>no setor de fertilizantes, em especial produção de Amônia, Ureia e ARLA</w:t>
      </w:r>
      <w:r>
        <w:rPr>
          <w:spacing w:val="-5"/>
          <w:sz w:val="24"/>
        </w:rPr>
        <w:t> </w:t>
      </w:r>
      <w:r>
        <w:rPr>
          <w:sz w:val="24"/>
        </w:rPr>
        <w:t>32.</w:t>
      </w:r>
    </w:p>
    <w:p>
      <w:pPr>
        <w:spacing w:before="160"/>
        <w:ind w:left="981" w:right="987" w:firstLine="852"/>
        <w:jc w:val="both"/>
        <w:rPr>
          <w:sz w:val="24"/>
        </w:rPr>
      </w:pPr>
      <w:r>
        <w:rPr>
          <w:sz w:val="24"/>
        </w:rPr>
        <w:t>A fábrica de fertilizantes nitrogenados está localizada no município de Araucária</w:t>
      </w:r>
      <w:r>
        <w:rPr>
          <w:spacing w:val="-14"/>
          <w:sz w:val="24"/>
        </w:rPr>
        <w:t> </w:t>
      </w:r>
      <w:r>
        <w:rPr>
          <w:sz w:val="24"/>
        </w:rPr>
        <w:t>(PR)</w:t>
      </w:r>
      <w:r>
        <w:rPr>
          <w:spacing w:val="-14"/>
          <w:sz w:val="24"/>
        </w:rPr>
        <w:t> </w:t>
      </w:r>
      <w:r>
        <w:rPr>
          <w:sz w:val="24"/>
        </w:rPr>
        <w:t>e</w:t>
      </w:r>
      <w:r>
        <w:rPr>
          <w:spacing w:val="-13"/>
          <w:sz w:val="24"/>
        </w:rPr>
        <w:t> </w:t>
      </w:r>
      <w:r>
        <w:rPr>
          <w:sz w:val="24"/>
        </w:rPr>
        <w:t>foi</w:t>
      </w:r>
      <w:r>
        <w:rPr>
          <w:spacing w:val="-14"/>
          <w:sz w:val="24"/>
        </w:rPr>
        <w:t> </w:t>
      </w:r>
      <w:r>
        <w:rPr>
          <w:sz w:val="24"/>
        </w:rPr>
        <w:t>inaugurada</w:t>
      </w:r>
      <w:r>
        <w:rPr>
          <w:spacing w:val="-13"/>
          <w:sz w:val="24"/>
        </w:rPr>
        <w:t> </w:t>
      </w:r>
      <w:r>
        <w:rPr>
          <w:sz w:val="24"/>
        </w:rPr>
        <w:t>em</w:t>
      </w:r>
      <w:r>
        <w:rPr>
          <w:spacing w:val="-14"/>
          <w:sz w:val="24"/>
        </w:rPr>
        <w:t> </w:t>
      </w:r>
      <w:r>
        <w:rPr>
          <w:sz w:val="24"/>
        </w:rPr>
        <w:t>18</w:t>
      </w:r>
      <w:r>
        <w:rPr>
          <w:spacing w:val="-13"/>
          <w:sz w:val="24"/>
        </w:rPr>
        <w:t> </w:t>
      </w:r>
      <w:r>
        <w:rPr>
          <w:sz w:val="24"/>
        </w:rPr>
        <w:t>de</w:t>
      </w:r>
      <w:r>
        <w:rPr>
          <w:spacing w:val="-13"/>
          <w:sz w:val="24"/>
        </w:rPr>
        <w:t> </w:t>
      </w:r>
      <w:r>
        <w:rPr>
          <w:sz w:val="24"/>
        </w:rPr>
        <w:t>março</w:t>
      </w:r>
      <w:r>
        <w:rPr>
          <w:spacing w:val="-13"/>
          <w:sz w:val="24"/>
        </w:rPr>
        <w:t> </w:t>
      </w:r>
      <w:r>
        <w:rPr>
          <w:sz w:val="24"/>
        </w:rPr>
        <w:t>de</w:t>
      </w:r>
      <w:r>
        <w:rPr>
          <w:spacing w:val="-14"/>
          <w:sz w:val="24"/>
        </w:rPr>
        <w:t> </w:t>
      </w:r>
      <w:r>
        <w:rPr>
          <w:sz w:val="24"/>
        </w:rPr>
        <w:t>1982</w:t>
      </w:r>
      <w:r>
        <w:rPr>
          <w:spacing w:val="-12"/>
          <w:sz w:val="24"/>
        </w:rPr>
        <w:t> </w:t>
      </w:r>
      <w:r>
        <w:rPr>
          <w:sz w:val="24"/>
        </w:rPr>
        <w:t>pela</w:t>
      </w:r>
      <w:r>
        <w:rPr>
          <w:spacing w:val="-13"/>
          <w:sz w:val="24"/>
        </w:rPr>
        <w:t> </w:t>
      </w:r>
      <w:r>
        <w:rPr>
          <w:sz w:val="24"/>
        </w:rPr>
        <w:t>Petrobras,</w:t>
      </w:r>
      <w:r>
        <w:rPr>
          <w:spacing w:val="-14"/>
          <w:sz w:val="24"/>
        </w:rPr>
        <w:t> </w:t>
      </w:r>
      <w:r>
        <w:rPr>
          <w:sz w:val="24"/>
        </w:rPr>
        <w:t>com</w:t>
      </w:r>
      <w:r>
        <w:rPr>
          <w:spacing w:val="-12"/>
          <w:sz w:val="24"/>
        </w:rPr>
        <w:t> </w:t>
      </w:r>
      <w:r>
        <w:rPr>
          <w:sz w:val="24"/>
        </w:rPr>
        <w:t>capacidade nominal de produção de 437,4 mil t/ano de amônia e 531,6 mil t/ano de</w:t>
      </w:r>
      <w:r>
        <w:rPr>
          <w:spacing w:val="-16"/>
          <w:sz w:val="24"/>
        </w:rPr>
        <w:t> </w:t>
      </w:r>
      <w:r>
        <w:rPr>
          <w:sz w:val="24"/>
        </w:rPr>
        <w:t>ureia.</w:t>
      </w:r>
    </w:p>
    <w:p>
      <w:pPr>
        <w:spacing w:before="161"/>
        <w:ind w:left="1833" w:right="0" w:firstLine="0"/>
        <w:jc w:val="left"/>
        <w:rPr>
          <w:sz w:val="24"/>
        </w:rPr>
      </w:pPr>
      <w:r>
        <w:rPr>
          <w:sz w:val="24"/>
        </w:rPr>
        <w:t>Em</w:t>
      </w:r>
      <w:r>
        <w:rPr>
          <w:spacing w:val="-2"/>
          <w:sz w:val="24"/>
        </w:rPr>
        <w:t> </w:t>
      </w:r>
      <w:r>
        <w:rPr>
          <w:sz w:val="24"/>
        </w:rPr>
        <w:t>1993,</w:t>
      </w:r>
      <w:r>
        <w:rPr>
          <w:spacing w:val="-1"/>
          <w:sz w:val="24"/>
        </w:rPr>
        <w:t> </w:t>
      </w:r>
      <w:r>
        <w:rPr>
          <w:sz w:val="24"/>
        </w:rPr>
        <w:t>a Unidade,</w:t>
      </w:r>
      <w:r>
        <w:rPr>
          <w:spacing w:val="-2"/>
          <w:sz w:val="24"/>
        </w:rPr>
        <w:t> </w:t>
      </w:r>
      <w:r>
        <w:rPr>
          <w:sz w:val="24"/>
        </w:rPr>
        <w:t>que</w:t>
      </w:r>
      <w:r>
        <w:rPr>
          <w:spacing w:val="-1"/>
          <w:sz w:val="24"/>
        </w:rPr>
        <w:t> </w:t>
      </w:r>
      <w:r>
        <w:rPr>
          <w:sz w:val="24"/>
        </w:rPr>
        <w:t>pertencia</w:t>
      </w:r>
      <w:r>
        <w:rPr>
          <w:spacing w:val="-2"/>
          <w:sz w:val="24"/>
        </w:rPr>
        <w:t> </w:t>
      </w:r>
      <w:r>
        <w:rPr>
          <w:sz w:val="24"/>
        </w:rPr>
        <w:t>à</w:t>
      </w:r>
      <w:r>
        <w:rPr>
          <w:spacing w:val="-2"/>
          <w:sz w:val="24"/>
        </w:rPr>
        <w:t> </w:t>
      </w:r>
      <w:r>
        <w:rPr>
          <w:sz w:val="24"/>
        </w:rPr>
        <w:t>Petrobras,</w:t>
      </w:r>
      <w:r>
        <w:rPr>
          <w:spacing w:val="-3"/>
          <w:sz w:val="24"/>
        </w:rPr>
        <w:t> </w:t>
      </w:r>
      <w:r>
        <w:rPr>
          <w:sz w:val="24"/>
        </w:rPr>
        <w:t>foi </w:t>
      </w:r>
      <w:r>
        <w:rPr>
          <w:spacing w:val="-2"/>
          <w:sz w:val="24"/>
        </w:rPr>
        <w:t>privatizada.</w:t>
      </w:r>
    </w:p>
    <w:p>
      <w:pPr>
        <w:spacing w:before="158"/>
        <w:ind w:left="981" w:right="992" w:firstLine="852"/>
        <w:jc w:val="both"/>
        <w:rPr>
          <w:sz w:val="24"/>
        </w:rPr>
      </w:pPr>
      <w:r>
        <w:rPr>
          <w:sz w:val="24"/>
        </w:rPr>
        <w:t>Em</w:t>
      </w:r>
      <w:r>
        <w:rPr>
          <w:spacing w:val="-1"/>
          <w:sz w:val="24"/>
        </w:rPr>
        <w:t> </w:t>
      </w:r>
      <w:r>
        <w:rPr>
          <w:sz w:val="24"/>
        </w:rPr>
        <w:t>1995</w:t>
      </w:r>
      <w:r>
        <w:rPr>
          <w:spacing w:val="-1"/>
          <w:sz w:val="24"/>
        </w:rPr>
        <w:t> </w:t>
      </w:r>
      <w:r>
        <w:rPr>
          <w:sz w:val="24"/>
        </w:rPr>
        <w:t>foi realizada</w:t>
      </w:r>
      <w:r>
        <w:rPr>
          <w:spacing w:val="-1"/>
          <w:sz w:val="24"/>
        </w:rPr>
        <w:t> </w:t>
      </w:r>
      <w:r>
        <w:rPr>
          <w:sz w:val="24"/>
        </w:rPr>
        <w:t>uma</w:t>
      </w:r>
      <w:r>
        <w:rPr>
          <w:spacing w:val="-1"/>
          <w:sz w:val="24"/>
        </w:rPr>
        <w:t> </w:t>
      </w:r>
      <w:r>
        <w:rPr>
          <w:sz w:val="24"/>
        </w:rPr>
        <w:t>modernização no</w:t>
      </w:r>
      <w:r>
        <w:rPr>
          <w:spacing w:val="-1"/>
          <w:sz w:val="24"/>
        </w:rPr>
        <w:t> </w:t>
      </w:r>
      <w:r>
        <w:rPr>
          <w:sz w:val="24"/>
        </w:rPr>
        <w:t>reator</w:t>
      </w:r>
      <w:r>
        <w:rPr>
          <w:spacing w:val="-2"/>
          <w:sz w:val="24"/>
        </w:rPr>
        <w:t> </w:t>
      </w:r>
      <w:r>
        <w:rPr>
          <w:sz w:val="24"/>
        </w:rPr>
        <w:t>de</w:t>
      </w:r>
      <w:r>
        <w:rPr>
          <w:spacing w:val="-1"/>
          <w:sz w:val="24"/>
        </w:rPr>
        <w:t> </w:t>
      </w:r>
      <w:r>
        <w:rPr>
          <w:sz w:val="24"/>
        </w:rPr>
        <w:t>amônia</w:t>
      </w:r>
      <w:r>
        <w:rPr>
          <w:spacing w:val="-1"/>
          <w:sz w:val="24"/>
        </w:rPr>
        <w:t> </w:t>
      </w:r>
      <w:r>
        <w:rPr>
          <w:sz w:val="24"/>
        </w:rPr>
        <w:t>e</w:t>
      </w:r>
      <w:r>
        <w:rPr>
          <w:spacing w:val="-1"/>
          <w:sz w:val="24"/>
        </w:rPr>
        <w:t> </w:t>
      </w:r>
      <w:r>
        <w:rPr>
          <w:sz w:val="24"/>
        </w:rPr>
        <w:t>em</w:t>
      </w:r>
      <w:r>
        <w:rPr>
          <w:spacing w:val="-1"/>
          <w:sz w:val="24"/>
        </w:rPr>
        <w:t> </w:t>
      </w:r>
      <w:r>
        <w:rPr>
          <w:sz w:val="24"/>
        </w:rPr>
        <w:t>2001</w:t>
      </w:r>
      <w:r>
        <w:rPr>
          <w:spacing w:val="-2"/>
          <w:sz w:val="24"/>
        </w:rPr>
        <w:t> </w:t>
      </w:r>
      <w:r>
        <w:rPr>
          <w:sz w:val="24"/>
        </w:rPr>
        <w:t>uma modernização no reator de conversão de CO, aumentando a capacidade nominal de amônia para 475mil t/ano.</w:t>
      </w:r>
    </w:p>
    <w:p>
      <w:pPr>
        <w:spacing w:before="160"/>
        <w:ind w:left="1833" w:right="0" w:firstLine="0"/>
        <w:jc w:val="left"/>
        <w:rPr>
          <w:sz w:val="24"/>
        </w:rPr>
      </w:pPr>
      <w:r>
        <w:rPr>
          <w:sz w:val="24"/>
        </w:rPr>
        <w:t>Em</w:t>
      </w:r>
      <w:r>
        <w:rPr>
          <w:spacing w:val="-3"/>
          <w:sz w:val="24"/>
        </w:rPr>
        <w:t> </w:t>
      </w:r>
      <w:r>
        <w:rPr>
          <w:sz w:val="24"/>
        </w:rPr>
        <w:t>1997</w:t>
      </w:r>
      <w:r>
        <w:rPr>
          <w:spacing w:val="-2"/>
          <w:sz w:val="24"/>
        </w:rPr>
        <w:t> </w:t>
      </w:r>
      <w:r>
        <w:rPr>
          <w:sz w:val="24"/>
        </w:rPr>
        <w:t>a</w:t>
      </w:r>
      <w:r>
        <w:rPr>
          <w:spacing w:val="-1"/>
          <w:sz w:val="24"/>
        </w:rPr>
        <w:t> </w:t>
      </w:r>
      <w:r>
        <w:rPr>
          <w:sz w:val="24"/>
        </w:rPr>
        <w:t>Unidade</w:t>
      </w:r>
      <w:r>
        <w:rPr>
          <w:spacing w:val="-2"/>
          <w:sz w:val="24"/>
        </w:rPr>
        <w:t> </w:t>
      </w:r>
      <w:r>
        <w:rPr>
          <w:sz w:val="24"/>
        </w:rPr>
        <w:t>de</w:t>
      </w:r>
      <w:r>
        <w:rPr>
          <w:spacing w:val="-2"/>
          <w:sz w:val="24"/>
        </w:rPr>
        <w:t> </w:t>
      </w:r>
      <w:r>
        <w:rPr>
          <w:sz w:val="24"/>
        </w:rPr>
        <w:t>ureia</w:t>
      </w:r>
      <w:r>
        <w:rPr>
          <w:spacing w:val="-2"/>
          <w:sz w:val="24"/>
        </w:rPr>
        <w:t> </w:t>
      </w:r>
      <w:r>
        <w:rPr>
          <w:sz w:val="24"/>
        </w:rPr>
        <w:t>teve</w:t>
      </w:r>
      <w:r>
        <w:rPr>
          <w:spacing w:val="-2"/>
          <w:sz w:val="24"/>
        </w:rPr>
        <w:t> </w:t>
      </w:r>
      <w:r>
        <w:rPr>
          <w:sz w:val="24"/>
        </w:rPr>
        <w:t>um</w:t>
      </w:r>
      <w:r>
        <w:rPr>
          <w:spacing w:val="-2"/>
          <w:sz w:val="24"/>
        </w:rPr>
        <w:t> </w:t>
      </w:r>
      <w:r>
        <w:rPr>
          <w:sz w:val="24"/>
        </w:rPr>
        <w:t>aumento</w:t>
      </w:r>
      <w:r>
        <w:rPr>
          <w:spacing w:val="-2"/>
          <w:sz w:val="24"/>
        </w:rPr>
        <w:t> </w:t>
      </w:r>
      <w:r>
        <w:rPr>
          <w:sz w:val="24"/>
        </w:rPr>
        <w:t>de</w:t>
      </w:r>
      <w:r>
        <w:rPr>
          <w:spacing w:val="-1"/>
          <w:sz w:val="24"/>
        </w:rPr>
        <w:t> </w:t>
      </w:r>
      <w:r>
        <w:rPr>
          <w:sz w:val="24"/>
        </w:rPr>
        <w:t>capacidade</w:t>
      </w:r>
      <w:r>
        <w:rPr>
          <w:spacing w:val="-2"/>
          <w:sz w:val="24"/>
        </w:rPr>
        <w:t> </w:t>
      </w:r>
      <w:r>
        <w:rPr>
          <w:sz w:val="24"/>
        </w:rPr>
        <w:t>para</w:t>
      </w:r>
      <w:r>
        <w:rPr>
          <w:spacing w:val="-2"/>
          <w:sz w:val="24"/>
        </w:rPr>
        <w:t> </w:t>
      </w:r>
      <w:r>
        <w:rPr>
          <w:sz w:val="24"/>
        </w:rPr>
        <w:t>700</w:t>
      </w:r>
      <w:r>
        <w:rPr>
          <w:spacing w:val="-1"/>
          <w:sz w:val="24"/>
        </w:rPr>
        <w:t> </w:t>
      </w:r>
      <w:r>
        <w:rPr>
          <w:spacing w:val="-5"/>
          <w:sz w:val="24"/>
        </w:rPr>
        <w:t>mil</w:t>
      </w:r>
    </w:p>
    <w:p>
      <w:pPr>
        <w:spacing w:before="1"/>
        <w:ind w:left="981" w:right="0" w:firstLine="0"/>
        <w:jc w:val="left"/>
        <w:rPr>
          <w:sz w:val="24"/>
        </w:rPr>
      </w:pPr>
      <w:r>
        <w:rPr>
          <w:spacing w:val="-2"/>
          <w:sz w:val="24"/>
        </w:rPr>
        <w:t>t/ano.</w:t>
      </w:r>
    </w:p>
    <w:p>
      <w:pPr>
        <w:spacing w:before="161"/>
        <w:ind w:left="115" w:right="84" w:firstLine="0"/>
        <w:jc w:val="center"/>
        <w:rPr>
          <w:sz w:val="24"/>
        </w:rPr>
      </w:pPr>
      <w:r>
        <w:rPr>
          <w:sz w:val="24"/>
        </w:rPr>
        <w:t>Em</w:t>
      </w:r>
      <w:r>
        <w:rPr>
          <w:spacing w:val="-5"/>
          <w:sz w:val="24"/>
        </w:rPr>
        <w:t> </w:t>
      </w:r>
      <w:r>
        <w:rPr>
          <w:sz w:val="24"/>
        </w:rPr>
        <w:t>novembro</w:t>
      </w:r>
      <w:r>
        <w:rPr>
          <w:spacing w:val="-4"/>
          <w:sz w:val="24"/>
        </w:rPr>
        <w:t> </w:t>
      </w:r>
      <w:r>
        <w:rPr>
          <w:sz w:val="24"/>
        </w:rPr>
        <w:t>de</w:t>
      </w:r>
      <w:r>
        <w:rPr>
          <w:spacing w:val="-3"/>
          <w:sz w:val="24"/>
        </w:rPr>
        <w:t> </w:t>
      </w:r>
      <w:r>
        <w:rPr>
          <w:sz w:val="24"/>
        </w:rPr>
        <w:t>2011</w:t>
      </w:r>
      <w:r>
        <w:rPr>
          <w:spacing w:val="-5"/>
          <w:sz w:val="24"/>
        </w:rPr>
        <w:t> </w:t>
      </w:r>
      <w:r>
        <w:rPr>
          <w:sz w:val="24"/>
        </w:rPr>
        <w:t>foi</w:t>
      </w:r>
      <w:r>
        <w:rPr>
          <w:spacing w:val="-3"/>
          <w:sz w:val="24"/>
        </w:rPr>
        <w:t> </w:t>
      </w:r>
      <w:r>
        <w:rPr>
          <w:sz w:val="24"/>
        </w:rPr>
        <w:t>inaugurada</w:t>
      </w:r>
      <w:r>
        <w:rPr>
          <w:spacing w:val="-4"/>
          <w:sz w:val="24"/>
        </w:rPr>
        <w:t> </w:t>
      </w:r>
      <w:r>
        <w:rPr>
          <w:sz w:val="24"/>
        </w:rPr>
        <w:t>a</w:t>
      </w:r>
      <w:r>
        <w:rPr>
          <w:spacing w:val="-5"/>
          <w:sz w:val="24"/>
        </w:rPr>
        <w:t> </w:t>
      </w:r>
      <w:r>
        <w:rPr>
          <w:sz w:val="24"/>
        </w:rPr>
        <w:t>primeira</w:t>
      </w:r>
      <w:r>
        <w:rPr>
          <w:spacing w:val="-3"/>
          <w:sz w:val="24"/>
        </w:rPr>
        <w:t> </w:t>
      </w:r>
      <w:r>
        <w:rPr>
          <w:sz w:val="24"/>
        </w:rPr>
        <w:t>unidade</w:t>
      </w:r>
      <w:r>
        <w:rPr>
          <w:spacing w:val="-5"/>
          <w:sz w:val="24"/>
        </w:rPr>
        <w:t> </w:t>
      </w:r>
      <w:r>
        <w:rPr>
          <w:sz w:val="24"/>
        </w:rPr>
        <w:t>industrial</w:t>
      </w:r>
      <w:r>
        <w:rPr>
          <w:spacing w:val="-3"/>
          <w:sz w:val="24"/>
        </w:rPr>
        <w:t> </w:t>
      </w:r>
      <w:r>
        <w:rPr>
          <w:spacing w:val="-5"/>
          <w:sz w:val="24"/>
        </w:rPr>
        <w:t>de</w:t>
      </w:r>
    </w:p>
    <w:p>
      <w:pPr>
        <w:spacing w:before="0"/>
        <w:ind w:left="981" w:right="988" w:firstLine="0"/>
        <w:jc w:val="both"/>
        <w:rPr>
          <w:sz w:val="24"/>
        </w:rPr>
      </w:pPr>
      <w:r>
        <w:rPr>
          <w:sz w:val="24"/>
        </w:rPr>
        <w:t>produção do Agente Redutor Liquido Líquido Automotivo (ARLA 32) do país, com uma capacidade de 923 mil t/ano, sendo considerada a maior planta de produção de ARLA 32 do mundo.</w:t>
      </w:r>
    </w:p>
    <w:p>
      <w:pPr>
        <w:spacing w:before="160"/>
        <w:ind w:left="981" w:right="993" w:firstLine="852"/>
        <w:jc w:val="both"/>
        <w:rPr>
          <w:sz w:val="24"/>
        </w:rPr>
      </w:pPr>
      <w:r>
        <w:rPr>
          <w:sz w:val="24"/>
        </w:rPr>
        <w:t>Até 01/06/2012 a planta industrial da Araucária era uma Unidade Operacional (UO) da Ultrafértil. Na referida data a Ultrafértil foi cindida e esta unidade passou a integrar o patrimônio da Araucária Nitrogenados S.A.</w:t>
      </w:r>
    </w:p>
    <w:p>
      <w:pPr>
        <w:spacing w:before="160"/>
        <w:ind w:left="981" w:right="989" w:firstLine="852"/>
        <w:jc w:val="both"/>
        <w:rPr>
          <w:sz w:val="24"/>
        </w:rPr>
      </w:pPr>
      <w:r>
        <w:rPr>
          <w:sz w:val="24"/>
        </w:rPr>
        <w:t>Em</w:t>
      </w:r>
      <w:r>
        <w:rPr>
          <w:spacing w:val="-10"/>
          <w:sz w:val="24"/>
        </w:rPr>
        <w:t> </w:t>
      </w:r>
      <w:r>
        <w:rPr>
          <w:sz w:val="24"/>
        </w:rPr>
        <w:t>dezembro</w:t>
      </w:r>
      <w:r>
        <w:rPr>
          <w:spacing w:val="-8"/>
          <w:sz w:val="24"/>
        </w:rPr>
        <w:t> </w:t>
      </w:r>
      <w:r>
        <w:rPr>
          <w:sz w:val="24"/>
        </w:rPr>
        <w:t>de</w:t>
      </w:r>
      <w:r>
        <w:rPr>
          <w:spacing w:val="-12"/>
          <w:sz w:val="24"/>
        </w:rPr>
        <w:t> </w:t>
      </w:r>
      <w:r>
        <w:rPr>
          <w:sz w:val="24"/>
        </w:rPr>
        <w:t>2012,</w:t>
      </w:r>
      <w:r>
        <w:rPr>
          <w:spacing w:val="-10"/>
          <w:sz w:val="24"/>
        </w:rPr>
        <w:t> </w:t>
      </w:r>
      <w:r>
        <w:rPr>
          <w:sz w:val="24"/>
        </w:rPr>
        <w:t>a</w:t>
      </w:r>
      <w:r>
        <w:rPr>
          <w:spacing w:val="-9"/>
          <w:sz w:val="24"/>
        </w:rPr>
        <w:t> </w:t>
      </w:r>
      <w:r>
        <w:rPr>
          <w:sz w:val="24"/>
        </w:rPr>
        <w:t>Petrobras</w:t>
      </w:r>
      <w:r>
        <w:rPr>
          <w:spacing w:val="-11"/>
          <w:sz w:val="24"/>
        </w:rPr>
        <w:t> </w:t>
      </w:r>
      <w:r>
        <w:rPr>
          <w:sz w:val="24"/>
        </w:rPr>
        <w:t>assinou</w:t>
      </w:r>
      <w:r>
        <w:rPr>
          <w:spacing w:val="-10"/>
          <w:sz w:val="24"/>
        </w:rPr>
        <w:t> </w:t>
      </w:r>
      <w:r>
        <w:rPr>
          <w:sz w:val="24"/>
        </w:rPr>
        <w:t>acordo</w:t>
      </w:r>
      <w:r>
        <w:rPr>
          <w:spacing w:val="-8"/>
          <w:sz w:val="24"/>
        </w:rPr>
        <w:t> </w:t>
      </w:r>
      <w:r>
        <w:rPr>
          <w:sz w:val="24"/>
        </w:rPr>
        <w:t>com</w:t>
      </w:r>
      <w:r>
        <w:rPr>
          <w:spacing w:val="-10"/>
          <w:sz w:val="24"/>
        </w:rPr>
        <w:t> </w:t>
      </w:r>
      <w:r>
        <w:rPr>
          <w:sz w:val="24"/>
        </w:rPr>
        <w:t>a</w:t>
      </w:r>
      <w:r>
        <w:rPr>
          <w:spacing w:val="-11"/>
          <w:sz w:val="24"/>
        </w:rPr>
        <w:t> </w:t>
      </w:r>
      <w:r>
        <w:rPr>
          <w:sz w:val="24"/>
        </w:rPr>
        <w:t>Vale</w:t>
      </w:r>
      <w:r>
        <w:rPr>
          <w:spacing w:val="-8"/>
          <w:sz w:val="24"/>
        </w:rPr>
        <w:t> </w:t>
      </w:r>
      <w:r>
        <w:rPr>
          <w:sz w:val="24"/>
        </w:rPr>
        <w:t>Fertilizantes</w:t>
      </w:r>
      <w:r>
        <w:rPr>
          <w:spacing w:val="-10"/>
          <w:sz w:val="24"/>
        </w:rPr>
        <w:t> </w:t>
      </w:r>
      <w:r>
        <w:rPr>
          <w:sz w:val="24"/>
        </w:rPr>
        <w:t>S.A. para</w:t>
      </w:r>
      <w:r>
        <w:rPr>
          <w:spacing w:val="-14"/>
          <w:sz w:val="24"/>
        </w:rPr>
        <w:t> </w:t>
      </w:r>
      <w:r>
        <w:rPr>
          <w:sz w:val="24"/>
        </w:rPr>
        <w:t>a</w:t>
      </w:r>
      <w:r>
        <w:rPr>
          <w:spacing w:val="-14"/>
          <w:sz w:val="24"/>
        </w:rPr>
        <w:t> </w:t>
      </w:r>
      <w:r>
        <w:rPr>
          <w:sz w:val="24"/>
        </w:rPr>
        <w:t>compra</w:t>
      </w:r>
      <w:r>
        <w:rPr>
          <w:spacing w:val="-13"/>
          <w:sz w:val="24"/>
        </w:rPr>
        <w:t> </w:t>
      </w:r>
      <w:r>
        <w:rPr>
          <w:sz w:val="24"/>
        </w:rPr>
        <w:t>da</w:t>
      </w:r>
      <w:r>
        <w:rPr>
          <w:spacing w:val="-14"/>
          <w:sz w:val="24"/>
        </w:rPr>
        <w:t> </w:t>
      </w:r>
      <w:r>
        <w:rPr>
          <w:sz w:val="24"/>
        </w:rPr>
        <w:t>empresa</w:t>
      </w:r>
      <w:r>
        <w:rPr>
          <w:spacing w:val="-13"/>
          <w:sz w:val="24"/>
        </w:rPr>
        <w:t> </w:t>
      </w:r>
      <w:r>
        <w:rPr>
          <w:sz w:val="24"/>
        </w:rPr>
        <w:t>da</w:t>
      </w:r>
      <w:r>
        <w:rPr>
          <w:spacing w:val="-14"/>
          <w:sz w:val="24"/>
        </w:rPr>
        <w:t> </w:t>
      </w:r>
      <w:r>
        <w:rPr>
          <w:sz w:val="24"/>
        </w:rPr>
        <w:t>ANSA,</w:t>
      </w:r>
      <w:r>
        <w:rPr>
          <w:spacing w:val="-12"/>
          <w:sz w:val="24"/>
        </w:rPr>
        <w:t> </w:t>
      </w:r>
      <w:r>
        <w:rPr>
          <w:sz w:val="24"/>
        </w:rPr>
        <w:t>aquisição</w:t>
      </w:r>
      <w:r>
        <w:rPr>
          <w:spacing w:val="-12"/>
          <w:sz w:val="24"/>
        </w:rPr>
        <w:t> </w:t>
      </w:r>
      <w:r>
        <w:rPr>
          <w:sz w:val="24"/>
        </w:rPr>
        <w:t>esta</w:t>
      </w:r>
      <w:r>
        <w:rPr>
          <w:spacing w:val="-14"/>
          <w:sz w:val="24"/>
        </w:rPr>
        <w:t> </w:t>
      </w:r>
      <w:r>
        <w:rPr>
          <w:sz w:val="24"/>
        </w:rPr>
        <w:t>formalizada</w:t>
      </w:r>
      <w:r>
        <w:rPr>
          <w:spacing w:val="-14"/>
          <w:sz w:val="24"/>
        </w:rPr>
        <w:t> </w:t>
      </w:r>
      <w:r>
        <w:rPr>
          <w:sz w:val="24"/>
        </w:rPr>
        <w:t>em</w:t>
      </w:r>
      <w:r>
        <w:rPr>
          <w:spacing w:val="-12"/>
          <w:sz w:val="24"/>
        </w:rPr>
        <w:t> </w:t>
      </w:r>
      <w:r>
        <w:rPr>
          <w:sz w:val="24"/>
        </w:rPr>
        <w:t>01</w:t>
      </w:r>
      <w:r>
        <w:rPr>
          <w:spacing w:val="-14"/>
          <w:sz w:val="24"/>
        </w:rPr>
        <w:t> </w:t>
      </w:r>
      <w:r>
        <w:rPr>
          <w:sz w:val="24"/>
        </w:rPr>
        <w:t>de</w:t>
      </w:r>
      <w:r>
        <w:rPr>
          <w:spacing w:val="-11"/>
          <w:sz w:val="24"/>
        </w:rPr>
        <w:t> </w:t>
      </w:r>
      <w:r>
        <w:rPr>
          <w:sz w:val="24"/>
        </w:rPr>
        <w:t>junho</w:t>
      </w:r>
      <w:r>
        <w:rPr>
          <w:spacing w:val="-14"/>
          <w:sz w:val="24"/>
        </w:rPr>
        <w:t> </w:t>
      </w:r>
      <w:r>
        <w:rPr>
          <w:sz w:val="24"/>
        </w:rPr>
        <w:t>de</w:t>
      </w:r>
      <w:r>
        <w:rPr>
          <w:spacing w:val="-13"/>
          <w:sz w:val="24"/>
        </w:rPr>
        <w:t> </w:t>
      </w:r>
      <w:r>
        <w:rPr>
          <w:sz w:val="24"/>
        </w:rPr>
        <w:t>2013. Desde então, a ANSA é uma subsidiária integral da Petrobras.</w:t>
      </w:r>
    </w:p>
    <w:p>
      <w:pPr>
        <w:spacing w:before="160"/>
        <w:ind w:left="981" w:right="989" w:firstLine="852"/>
        <w:jc w:val="both"/>
        <w:rPr>
          <w:sz w:val="24"/>
        </w:rPr>
      </w:pPr>
      <w:r>
        <w:rPr>
          <w:sz w:val="24"/>
        </w:rPr>
        <w:t>A Petrobras iniciou o processo de venda da companhia no ano de 2017, em atenção à estratégia da época, de otimização do portfólio e melhoria de alocação do capital. As negociações com a companhia russa Acron Group não lograram êxito, ao final, conforme comunicado ao mercado em 26 de novembro de 2019.</w:t>
      </w:r>
    </w:p>
    <w:p>
      <w:pPr>
        <w:spacing w:before="161"/>
        <w:ind w:left="981" w:right="984" w:firstLine="852"/>
        <w:jc w:val="both"/>
        <w:rPr>
          <w:sz w:val="24"/>
        </w:rPr>
      </w:pPr>
      <w:r>
        <w:rPr>
          <w:sz w:val="24"/>
        </w:rPr>
        <w:t>No início de 2020, devido à perspectiva de manutenção das características do seu mercado de atuação e às projeções de resultado negativo, a continuidade operacional da ANSA não se mostrava viável economicamente e, por esta razão, sua acionista</w:t>
      </w:r>
      <w:r>
        <w:rPr>
          <w:spacing w:val="-11"/>
          <w:sz w:val="24"/>
        </w:rPr>
        <w:t> </w:t>
      </w:r>
      <w:r>
        <w:rPr>
          <w:sz w:val="24"/>
        </w:rPr>
        <w:t>única,</w:t>
      </w:r>
      <w:r>
        <w:rPr>
          <w:spacing w:val="-9"/>
          <w:sz w:val="24"/>
        </w:rPr>
        <w:t> </w:t>
      </w:r>
      <w:r>
        <w:rPr>
          <w:sz w:val="24"/>
        </w:rPr>
        <w:t>a</w:t>
      </w:r>
      <w:r>
        <w:rPr>
          <w:spacing w:val="-10"/>
          <w:sz w:val="24"/>
        </w:rPr>
        <w:t> </w:t>
      </w:r>
      <w:r>
        <w:rPr>
          <w:sz w:val="24"/>
        </w:rPr>
        <w:t>Petrobras,</w:t>
      </w:r>
      <w:r>
        <w:rPr>
          <w:spacing w:val="-8"/>
          <w:sz w:val="24"/>
        </w:rPr>
        <w:t> </w:t>
      </w:r>
      <w:r>
        <w:rPr>
          <w:sz w:val="24"/>
        </w:rPr>
        <w:t>decidiu</w:t>
      </w:r>
      <w:r>
        <w:rPr>
          <w:spacing w:val="-11"/>
          <w:sz w:val="24"/>
        </w:rPr>
        <w:t> </w:t>
      </w:r>
      <w:r>
        <w:rPr>
          <w:sz w:val="24"/>
        </w:rPr>
        <w:t>pela</w:t>
      </w:r>
      <w:r>
        <w:rPr>
          <w:spacing w:val="-10"/>
          <w:sz w:val="24"/>
        </w:rPr>
        <w:t> </w:t>
      </w:r>
      <w:r>
        <w:rPr>
          <w:sz w:val="24"/>
        </w:rPr>
        <w:t>hibernação</w:t>
      </w:r>
      <w:r>
        <w:rPr>
          <w:spacing w:val="-5"/>
          <w:sz w:val="24"/>
        </w:rPr>
        <w:t> </w:t>
      </w:r>
      <w:r>
        <w:rPr>
          <w:sz w:val="24"/>
        </w:rPr>
        <w:t>da</w:t>
      </w:r>
      <w:r>
        <w:rPr>
          <w:spacing w:val="-11"/>
          <w:sz w:val="24"/>
        </w:rPr>
        <w:t> </w:t>
      </w:r>
      <w:r>
        <w:rPr>
          <w:sz w:val="24"/>
        </w:rPr>
        <w:t>unidade</w:t>
      </w:r>
      <w:r>
        <w:rPr>
          <w:spacing w:val="-10"/>
          <w:sz w:val="24"/>
        </w:rPr>
        <w:t> </w:t>
      </w:r>
      <w:r>
        <w:rPr>
          <w:sz w:val="24"/>
        </w:rPr>
        <w:t>com</w:t>
      </w:r>
      <w:r>
        <w:rPr>
          <w:spacing w:val="-11"/>
          <w:sz w:val="24"/>
        </w:rPr>
        <w:t> </w:t>
      </w:r>
      <w:r>
        <w:rPr>
          <w:sz w:val="24"/>
        </w:rPr>
        <w:t>o</w:t>
      </w:r>
      <w:r>
        <w:rPr>
          <w:spacing w:val="-9"/>
          <w:sz w:val="24"/>
        </w:rPr>
        <w:t> </w:t>
      </w:r>
      <w:r>
        <w:rPr>
          <w:sz w:val="24"/>
        </w:rPr>
        <w:t>desligamento</w:t>
      </w:r>
      <w:r>
        <w:rPr>
          <w:spacing w:val="-11"/>
          <w:sz w:val="24"/>
        </w:rPr>
        <w:t> </w:t>
      </w:r>
      <w:r>
        <w:rPr>
          <w:sz w:val="24"/>
        </w:rPr>
        <w:t>de todos os empregados próprios, incluindo o pagamento de um pacote de benefícios, além das verbas rescisórias legais, como parte do acordo firmado no Tribunal Superior do Trabalho (TST).</w:t>
      </w:r>
    </w:p>
    <w:p>
      <w:pPr>
        <w:spacing w:before="159"/>
        <w:ind w:left="981" w:right="988" w:firstLine="852"/>
        <w:jc w:val="both"/>
        <w:rPr>
          <w:sz w:val="24"/>
        </w:rPr>
      </w:pPr>
      <w:r>
        <w:rPr>
          <w:sz w:val="24"/>
        </w:rPr>
        <w:t>Desde 2020 a fábrica da ANSA está hibernada (paralisação de suas atividades produtivas</w:t>
      </w:r>
      <w:r>
        <w:rPr>
          <w:spacing w:val="-4"/>
          <w:sz w:val="24"/>
        </w:rPr>
        <w:t> </w:t>
      </w:r>
      <w:r>
        <w:rPr>
          <w:sz w:val="24"/>
        </w:rPr>
        <w:t>e</w:t>
      </w:r>
      <w:r>
        <w:rPr>
          <w:spacing w:val="-3"/>
          <w:sz w:val="24"/>
        </w:rPr>
        <w:t> </w:t>
      </w:r>
      <w:r>
        <w:rPr>
          <w:sz w:val="24"/>
        </w:rPr>
        <w:t>comerciais),</w:t>
      </w:r>
      <w:r>
        <w:rPr>
          <w:spacing w:val="-4"/>
          <w:sz w:val="24"/>
        </w:rPr>
        <w:t> </w:t>
      </w:r>
      <w:r>
        <w:rPr>
          <w:sz w:val="24"/>
        </w:rPr>
        <w:t>mas</w:t>
      </w:r>
      <w:r>
        <w:rPr>
          <w:spacing w:val="-3"/>
          <w:sz w:val="24"/>
        </w:rPr>
        <w:t> </w:t>
      </w:r>
      <w:r>
        <w:rPr>
          <w:sz w:val="24"/>
        </w:rPr>
        <w:t>a</w:t>
      </w:r>
      <w:r>
        <w:rPr>
          <w:spacing w:val="-4"/>
          <w:sz w:val="24"/>
        </w:rPr>
        <w:t> </w:t>
      </w:r>
      <w:r>
        <w:rPr>
          <w:sz w:val="24"/>
        </w:rPr>
        <w:t>planta</w:t>
      </w:r>
      <w:r>
        <w:rPr>
          <w:spacing w:val="-2"/>
          <w:sz w:val="24"/>
        </w:rPr>
        <w:t> </w:t>
      </w:r>
      <w:r>
        <w:rPr>
          <w:sz w:val="24"/>
        </w:rPr>
        <w:t>industrial</w:t>
      </w:r>
      <w:r>
        <w:rPr>
          <w:spacing w:val="-2"/>
          <w:sz w:val="24"/>
        </w:rPr>
        <w:t> </w:t>
      </w:r>
      <w:r>
        <w:rPr>
          <w:sz w:val="24"/>
        </w:rPr>
        <w:t>tem</w:t>
      </w:r>
      <w:r>
        <w:rPr>
          <w:spacing w:val="-2"/>
          <w:sz w:val="24"/>
        </w:rPr>
        <w:t> </w:t>
      </w:r>
      <w:r>
        <w:rPr>
          <w:sz w:val="24"/>
        </w:rPr>
        <w:t>sido</w:t>
      </w:r>
      <w:r>
        <w:rPr>
          <w:spacing w:val="-2"/>
          <w:sz w:val="24"/>
        </w:rPr>
        <w:t> </w:t>
      </w:r>
      <w:r>
        <w:rPr>
          <w:sz w:val="24"/>
        </w:rPr>
        <w:t>manutenida,</w:t>
      </w:r>
      <w:r>
        <w:rPr>
          <w:spacing w:val="-4"/>
          <w:sz w:val="24"/>
        </w:rPr>
        <w:t> </w:t>
      </w:r>
      <w:r>
        <w:rPr>
          <w:sz w:val="24"/>
        </w:rPr>
        <w:t>conforme</w:t>
      </w:r>
      <w:r>
        <w:rPr>
          <w:spacing w:val="-3"/>
          <w:sz w:val="24"/>
        </w:rPr>
        <w:t> </w:t>
      </w:r>
      <w:r>
        <w:rPr>
          <w:sz w:val="24"/>
        </w:rPr>
        <w:t>Plano de Hibernação, em condições que garantiram total segurança industrial e ambiental, além da integridade dos equipamentos e a segurança das</w:t>
      </w:r>
      <w:r>
        <w:rPr>
          <w:spacing w:val="-3"/>
          <w:sz w:val="24"/>
        </w:rPr>
        <w:t> </w:t>
      </w:r>
      <w:r>
        <w:rPr>
          <w:sz w:val="24"/>
        </w:rPr>
        <w:t>pessoas.</w:t>
      </w:r>
    </w:p>
    <w:p>
      <w:pPr>
        <w:spacing w:after="0"/>
        <w:jc w:val="both"/>
        <w:rPr>
          <w:sz w:val="24"/>
        </w:rPr>
        <w:sectPr>
          <w:footerReference w:type="default" r:id="rId7"/>
          <w:pgSz w:w="11910" w:h="16840"/>
          <w:pgMar w:header="0" w:footer="864" w:top="1940" w:bottom="1060" w:left="720" w:right="700"/>
          <w:pgNumType w:start="5"/>
        </w:sectPr>
      </w:pPr>
    </w:p>
    <w:p>
      <w:pPr>
        <w:spacing w:before="36"/>
        <w:ind w:left="981" w:right="986" w:firstLine="852"/>
        <w:jc w:val="both"/>
        <w:rPr>
          <w:sz w:val="24"/>
        </w:rPr>
      </w:pPr>
      <w:r>
        <w:rPr>
          <w:sz w:val="24"/>
        </w:rPr>
        <w:t>O desafio foi acrescido em decorrência do cenário pandêmico da COVID‐19, vivido pelo Brasil e pelo mundo, que levou a companhia a tomar ações extras de prevenção e desenvolver um protocolo de segurança com medidas de contenção do vírus respeitando as recomendações da Organização Mundial de Saúde e do Ministério da Saúde.</w:t>
      </w:r>
    </w:p>
    <w:p>
      <w:pPr>
        <w:spacing w:before="164"/>
        <w:ind w:left="981" w:right="985" w:firstLine="852"/>
        <w:jc w:val="both"/>
        <w:rPr>
          <w:sz w:val="24"/>
        </w:rPr>
      </w:pPr>
      <w:r>
        <w:rPr>
          <w:sz w:val="24"/>
        </w:rPr>
        <w:t>Em setembro de 2020 a Petrobras reiniciou o processo de desinvestimento da totalidade de suas ações na ANSA, mas em dezembro de 2022 a referida acionista informou, através de fato relevante ao mercado, o encerramento do processo competitivo, que estava na fase vinculante, para a mencionada venda das ações.</w:t>
      </w:r>
    </w:p>
    <w:p>
      <w:pPr>
        <w:pStyle w:val="BodyText"/>
        <w:spacing w:before="185"/>
        <w:rPr>
          <w:sz w:val="24"/>
        </w:rPr>
      </w:pPr>
    </w:p>
    <w:p>
      <w:pPr>
        <w:pStyle w:val="ListParagraph"/>
        <w:numPr>
          <w:ilvl w:val="0"/>
          <w:numId w:val="2"/>
        </w:numPr>
        <w:tabs>
          <w:tab w:pos="1693" w:val="left" w:leader="none"/>
        </w:tabs>
        <w:spacing w:line="240" w:lineRule="auto" w:before="0" w:after="0"/>
        <w:ind w:left="1693" w:right="0" w:hanging="355"/>
        <w:jc w:val="both"/>
        <w:rPr>
          <w:b/>
          <w:sz w:val="28"/>
        </w:rPr>
      </w:pPr>
      <w:r>
        <w:rPr>
          <w:b/>
          <w:color w:val="1E3762"/>
          <w:sz w:val="28"/>
          <w:u w:val="single" w:color="1E3762"/>
        </w:rPr>
        <w:t>Compromissos</w:t>
      </w:r>
      <w:r>
        <w:rPr>
          <w:b/>
          <w:color w:val="1E3762"/>
          <w:spacing w:val="-12"/>
          <w:sz w:val="28"/>
          <w:u w:val="single" w:color="1E3762"/>
        </w:rPr>
        <w:t> </w:t>
      </w:r>
      <w:r>
        <w:rPr>
          <w:b/>
          <w:color w:val="1E3762"/>
          <w:sz w:val="28"/>
          <w:u w:val="single" w:color="1E3762"/>
        </w:rPr>
        <w:t>pós</w:t>
      </w:r>
      <w:r>
        <w:rPr>
          <w:b/>
          <w:color w:val="1E3762"/>
          <w:spacing w:val="-13"/>
          <w:sz w:val="28"/>
          <w:u w:val="single" w:color="1E3762"/>
        </w:rPr>
        <w:t> </w:t>
      </w:r>
      <w:r>
        <w:rPr>
          <w:b/>
          <w:color w:val="1E3762"/>
          <w:spacing w:val="-2"/>
          <w:sz w:val="28"/>
          <w:u w:val="single" w:color="1E3762"/>
        </w:rPr>
        <w:t>hibernação</w:t>
      </w:r>
    </w:p>
    <w:p>
      <w:pPr>
        <w:spacing w:before="159"/>
        <w:ind w:left="981" w:right="986" w:firstLine="852"/>
        <w:jc w:val="both"/>
        <w:rPr>
          <w:sz w:val="24"/>
        </w:rPr>
      </w:pPr>
      <w:r>
        <w:rPr>
          <w:sz w:val="24"/>
        </w:rPr>
        <w:t>No decorrer de 2022 a companhia fez a quitação dos benefícios referentes ao pacote de indenização proposto no TST para a dispensa coletiva de seus empregados. Os beneficiários tiveram direito ao plano de saúde, plano odontológico, benefício farmácia e benefício educacional, garantidos pelo período de 24 meses após o desligamento, seguindo as mesmas regras de quando estavam ativos. A companhia manteve</w:t>
      </w:r>
      <w:r>
        <w:rPr>
          <w:spacing w:val="-13"/>
          <w:sz w:val="24"/>
        </w:rPr>
        <w:t> </w:t>
      </w:r>
      <w:r>
        <w:rPr>
          <w:sz w:val="24"/>
        </w:rPr>
        <w:t>o</w:t>
      </w:r>
      <w:r>
        <w:rPr>
          <w:spacing w:val="-8"/>
          <w:sz w:val="24"/>
        </w:rPr>
        <w:t> </w:t>
      </w:r>
      <w:r>
        <w:rPr>
          <w:sz w:val="24"/>
        </w:rPr>
        <w:t>canal</w:t>
      </w:r>
      <w:r>
        <w:rPr>
          <w:spacing w:val="-10"/>
          <w:sz w:val="24"/>
        </w:rPr>
        <w:t> </w:t>
      </w:r>
      <w:r>
        <w:rPr>
          <w:sz w:val="24"/>
        </w:rPr>
        <w:t>de</w:t>
      </w:r>
      <w:r>
        <w:rPr>
          <w:spacing w:val="-10"/>
          <w:sz w:val="24"/>
        </w:rPr>
        <w:t> </w:t>
      </w:r>
      <w:r>
        <w:rPr>
          <w:sz w:val="24"/>
        </w:rPr>
        <w:t>comunicação</w:t>
      </w:r>
      <w:r>
        <w:rPr>
          <w:spacing w:val="-10"/>
          <w:sz w:val="24"/>
        </w:rPr>
        <w:t> </w:t>
      </w:r>
      <w:r>
        <w:rPr>
          <w:sz w:val="24"/>
        </w:rPr>
        <w:t>aberto</w:t>
      </w:r>
      <w:r>
        <w:rPr>
          <w:spacing w:val="-12"/>
          <w:sz w:val="24"/>
        </w:rPr>
        <w:t> </w:t>
      </w:r>
      <w:r>
        <w:rPr>
          <w:sz w:val="24"/>
        </w:rPr>
        <w:t>para</w:t>
      </w:r>
      <w:r>
        <w:rPr>
          <w:spacing w:val="-9"/>
          <w:sz w:val="24"/>
        </w:rPr>
        <w:t> </w:t>
      </w:r>
      <w:r>
        <w:rPr>
          <w:sz w:val="24"/>
        </w:rPr>
        <w:t>atendimento</w:t>
      </w:r>
      <w:r>
        <w:rPr>
          <w:spacing w:val="-11"/>
          <w:sz w:val="24"/>
        </w:rPr>
        <w:t> </w:t>
      </w:r>
      <w:r>
        <w:rPr>
          <w:sz w:val="24"/>
        </w:rPr>
        <w:t>das</w:t>
      </w:r>
      <w:r>
        <w:rPr>
          <w:spacing w:val="-11"/>
          <w:sz w:val="24"/>
        </w:rPr>
        <w:t> </w:t>
      </w:r>
      <w:r>
        <w:rPr>
          <w:sz w:val="24"/>
        </w:rPr>
        <w:t>demandas</w:t>
      </w:r>
      <w:r>
        <w:rPr>
          <w:spacing w:val="-10"/>
          <w:sz w:val="24"/>
        </w:rPr>
        <w:t> </w:t>
      </w:r>
      <w:r>
        <w:rPr>
          <w:sz w:val="24"/>
        </w:rPr>
        <w:t>e</w:t>
      </w:r>
      <w:r>
        <w:rPr>
          <w:spacing w:val="-9"/>
          <w:sz w:val="24"/>
        </w:rPr>
        <w:t> </w:t>
      </w:r>
      <w:r>
        <w:rPr>
          <w:sz w:val="24"/>
        </w:rPr>
        <w:t>dúvidas</w:t>
      </w:r>
      <w:r>
        <w:rPr>
          <w:spacing w:val="-14"/>
          <w:sz w:val="24"/>
        </w:rPr>
        <w:t> </w:t>
      </w:r>
      <w:r>
        <w:rPr>
          <w:sz w:val="24"/>
        </w:rPr>
        <w:t>dos </w:t>
      </w:r>
      <w:r>
        <w:rPr>
          <w:spacing w:val="-2"/>
          <w:sz w:val="24"/>
        </w:rPr>
        <w:t>beneficiários.</w:t>
      </w:r>
    </w:p>
    <w:p>
      <w:pPr>
        <w:spacing w:before="161"/>
        <w:ind w:left="981" w:right="987" w:firstLine="852"/>
        <w:jc w:val="both"/>
        <w:rPr>
          <w:sz w:val="24"/>
        </w:rPr>
      </w:pPr>
      <w:r>
        <w:rPr>
          <w:sz w:val="24"/>
        </w:rPr>
        <w:t>Outro</w:t>
      </w:r>
      <w:r>
        <w:rPr>
          <w:spacing w:val="-3"/>
          <w:sz w:val="24"/>
        </w:rPr>
        <w:t> </w:t>
      </w:r>
      <w:r>
        <w:rPr>
          <w:sz w:val="24"/>
        </w:rPr>
        <w:t>compromisso</w:t>
      </w:r>
      <w:r>
        <w:rPr>
          <w:spacing w:val="-2"/>
          <w:sz w:val="24"/>
        </w:rPr>
        <w:t> </w:t>
      </w:r>
      <w:r>
        <w:rPr>
          <w:sz w:val="24"/>
        </w:rPr>
        <w:t>decorrente</w:t>
      </w:r>
      <w:r>
        <w:rPr>
          <w:spacing w:val="-3"/>
          <w:sz w:val="24"/>
        </w:rPr>
        <w:t> </w:t>
      </w:r>
      <w:r>
        <w:rPr>
          <w:sz w:val="24"/>
        </w:rPr>
        <w:t>do</w:t>
      </w:r>
      <w:r>
        <w:rPr>
          <w:spacing w:val="-4"/>
          <w:sz w:val="24"/>
        </w:rPr>
        <w:t> </w:t>
      </w:r>
      <w:r>
        <w:rPr>
          <w:sz w:val="24"/>
        </w:rPr>
        <w:t>encerramento</w:t>
      </w:r>
      <w:r>
        <w:rPr>
          <w:spacing w:val="-1"/>
          <w:sz w:val="24"/>
        </w:rPr>
        <w:t> </w:t>
      </w:r>
      <w:r>
        <w:rPr>
          <w:sz w:val="24"/>
        </w:rPr>
        <w:t>das</w:t>
      </w:r>
      <w:r>
        <w:rPr>
          <w:spacing w:val="-4"/>
          <w:sz w:val="24"/>
        </w:rPr>
        <w:t> </w:t>
      </w:r>
      <w:r>
        <w:rPr>
          <w:sz w:val="24"/>
        </w:rPr>
        <w:t>atividades</w:t>
      </w:r>
      <w:r>
        <w:rPr>
          <w:spacing w:val="-4"/>
          <w:sz w:val="24"/>
        </w:rPr>
        <w:t> </w:t>
      </w:r>
      <w:r>
        <w:rPr>
          <w:sz w:val="24"/>
        </w:rPr>
        <w:t>da</w:t>
      </w:r>
      <w:r>
        <w:rPr>
          <w:spacing w:val="-3"/>
          <w:sz w:val="24"/>
        </w:rPr>
        <w:t> </w:t>
      </w:r>
      <w:r>
        <w:rPr>
          <w:sz w:val="24"/>
        </w:rPr>
        <w:t>ANSA</w:t>
      </w:r>
      <w:r>
        <w:rPr>
          <w:spacing w:val="-4"/>
          <w:sz w:val="24"/>
        </w:rPr>
        <w:t> </w:t>
      </w:r>
      <w:r>
        <w:rPr>
          <w:sz w:val="24"/>
        </w:rPr>
        <w:t>e</w:t>
      </w:r>
      <w:r>
        <w:rPr>
          <w:spacing w:val="-4"/>
          <w:sz w:val="24"/>
        </w:rPr>
        <w:t> </w:t>
      </w:r>
      <w:r>
        <w:rPr>
          <w:sz w:val="24"/>
        </w:rPr>
        <w:t>do desligamento de todos seus empregados próprios foi o encaminhamento para a finalização do processo de retirada de patrocínio dos planos de previdência privada geridos pela Fundação Petros, quais sejam, Plano Petros Ultrafértil e Plano Petros 2. O processo de retirada de patrocínio teve início em fevereiro de 2020 e foi aprovado na Superintendência Nacional de Previdência Complementar – PREVIC em dezembro de 2021, com sua liquidação realizada no primeiro semestre de 2022.</w:t>
      </w:r>
    </w:p>
    <w:p>
      <w:pPr>
        <w:spacing w:before="160"/>
        <w:ind w:left="981" w:right="985" w:firstLine="852"/>
        <w:jc w:val="both"/>
        <w:rPr>
          <w:sz w:val="24"/>
        </w:rPr>
      </w:pPr>
      <w:r>
        <w:rPr>
          <w:sz w:val="24"/>
        </w:rPr>
        <w:t>A ANSA e o Serviço Nacional de Aprendizagem Industrial ‐ SENAI Paraná mantiveram</w:t>
      </w:r>
      <w:r>
        <w:rPr>
          <w:spacing w:val="-12"/>
          <w:sz w:val="24"/>
        </w:rPr>
        <w:t> </w:t>
      </w:r>
      <w:r>
        <w:rPr>
          <w:sz w:val="24"/>
        </w:rPr>
        <w:t>em</w:t>
      </w:r>
      <w:r>
        <w:rPr>
          <w:spacing w:val="-13"/>
          <w:sz w:val="24"/>
        </w:rPr>
        <w:t> </w:t>
      </w:r>
      <w:r>
        <w:rPr>
          <w:sz w:val="24"/>
        </w:rPr>
        <w:t>2022</w:t>
      </w:r>
      <w:r>
        <w:rPr>
          <w:spacing w:val="-10"/>
          <w:sz w:val="24"/>
        </w:rPr>
        <w:t> </w:t>
      </w:r>
      <w:r>
        <w:rPr>
          <w:sz w:val="24"/>
        </w:rPr>
        <w:t>o</w:t>
      </w:r>
      <w:r>
        <w:rPr>
          <w:spacing w:val="-11"/>
          <w:sz w:val="24"/>
        </w:rPr>
        <w:t> </w:t>
      </w:r>
      <w:r>
        <w:rPr>
          <w:sz w:val="24"/>
        </w:rPr>
        <w:t>convênio</w:t>
      </w:r>
      <w:r>
        <w:rPr>
          <w:spacing w:val="-10"/>
          <w:sz w:val="24"/>
        </w:rPr>
        <w:t> </w:t>
      </w:r>
      <w:r>
        <w:rPr>
          <w:sz w:val="24"/>
        </w:rPr>
        <w:t>firmado</w:t>
      </w:r>
      <w:r>
        <w:rPr>
          <w:spacing w:val="-11"/>
          <w:sz w:val="24"/>
        </w:rPr>
        <w:t> </w:t>
      </w:r>
      <w:r>
        <w:rPr>
          <w:sz w:val="24"/>
        </w:rPr>
        <w:t>dois</w:t>
      </w:r>
      <w:r>
        <w:rPr>
          <w:spacing w:val="-14"/>
          <w:sz w:val="24"/>
        </w:rPr>
        <w:t> </w:t>
      </w:r>
      <w:r>
        <w:rPr>
          <w:sz w:val="24"/>
        </w:rPr>
        <w:t>anos</w:t>
      </w:r>
      <w:r>
        <w:rPr>
          <w:spacing w:val="-9"/>
          <w:sz w:val="24"/>
        </w:rPr>
        <w:t> </w:t>
      </w:r>
      <w:r>
        <w:rPr>
          <w:sz w:val="24"/>
        </w:rPr>
        <w:t>antes</w:t>
      </w:r>
      <w:r>
        <w:rPr>
          <w:spacing w:val="-10"/>
          <w:sz w:val="24"/>
        </w:rPr>
        <w:t> </w:t>
      </w:r>
      <w:r>
        <w:rPr>
          <w:sz w:val="24"/>
        </w:rPr>
        <w:t>para</w:t>
      </w:r>
      <w:r>
        <w:rPr>
          <w:spacing w:val="-11"/>
          <w:sz w:val="24"/>
        </w:rPr>
        <w:t> </w:t>
      </w:r>
      <w:r>
        <w:rPr>
          <w:sz w:val="24"/>
        </w:rPr>
        <w:t>o</w:t>
      </w:r>
      <w:r>
        <w:rPr>
          <w:spacing w:val="-13"/>
          <w:sz w:val="24"/>
        </w:rPr>
        <w:t> </w:t>
      </w:r>
      <w:r>
        <w:rPr>
          <w:sz w:val="24"/>
        </w:rPr>
        <w:t>Projeto</w:t>
      </w:r>
      <w:r>
        <w:rPr>
          <w:spacing w:val="-14"/>
          <w:sz w:val="24"/>
        </w:rPr>
        <w:t> </w:t>
      </w:r>
      <w:r>
        <w:rPr>
          <w:sz w:val="24"/>
        </w:rPr>
        <w:t>de</w:t>
      </w:r>
      <w:r>
        <w:rPr>
          <w:spacing w:val="-8"/>
          <w:sz w:val="24"/>
        </w:rPr>
        <w:t> </w:t>
      </w:r>
      <w:r>
        <w:rPr>
          <w:sz w:val="24"/>
        </w:rPr>
        <w:t>Recolocação no Mercado de Trabalho e Empregabilidade. O objetivo do convênio é a capacitação e qualificação para o mercado de trabalho, de adultos desempregados em situação financeira</w:t>
      </w:r>
      <w:r>
        <w:rPr>
          <w:spacing w:val="-5"/>
          <w:sz w:val="24"/>
        </w:rPr>
        <w:t> </w:t>
      </w:r>
      <w:r>
        <w:rPr>
          <w:sz w:val="24"/>
        </w:rPr>
        <w:t>vulnerável</w:t>
      </w:r>
      <w:r>
        <w:rPr>
          <w:spacing w:val="-4"/>
          <w:sz w:val="24"/>
        </w:rPr>
        <w:t> </w:t>
      </w:r>
      <w:r>
        <w:rPr>
          <w:sz w:val="24"/>
        </w:rPr>
        <w:t>na</w:t>
      </w:r>
      <w:r>
        <w:rPr>
          <w:spacing w:val="-11"/>
          <w:sz w:val="24"/>
        </w:rPr>
        <w:t> </w:t>
      </w:r>
      <w:r>
        <w:rPr>
          <w:sz w:val="24"/>
        </w:rPr>
        <w:t>cidade</w:t>
      </w:r>
      <w:r>
        <w:rPr>
          <w:spacing w:val="-7"/>
          <w:sz w:val="24"/>
        </w:rPr>
        <w:t> </w:t>
      </w:r>
      <w:r>
        <w:rPr>
          <w:sz w:val="24"/>
        </w:rPr>
        <w:t>de</w:t>
      </w:r>
      <w:r>
        <w:rPr>
          <w:spacing w:val="-7"/>
          <w:sz w:val="24"/>
        </w:rPr>
        <w:t> </w:t>
      </w:r>
      <w:r>
        <w:rPr>
          <w:sz w:val="24"/>
        </w:rPr>
        <w:t>Araucária.</w:t>
      </w:r>
      <w:r>
        <w:rPr>
          <w:spacing w:val="-7"/>
          <w:sz w:val="24"/>
        </w:rPr>
        <w:t> </w:t>
      </w:r>
      <w:r>
        <w:rPr>
          <w:sz w:val="24"/>
        </w:rPr>
        <w:t>Ao</w:t>
      </w:r>
      <w:r>
        <w:rPr>
          <w:spacing w:val="-8"/>
          <w:sz w:val="24"/>
        </w:rPr>
        <w:t> </w:t>
      </w:r>
      <w:r>
        <w:rPr>
          <w:sz w:val="24"/>
        </w:rPr>
        <w:t>todo,</w:t>
      </w:r>
      <w:r>
        <w:rPr>
          <w:spacing w:val="-8"/>
          <w:sz w:val="24"/>
        </w:rPr>
        <w:t> </w:t>
      </w:r>
      <w:r>
        <w:rPr>
          <w:sz w:val="24"/>
        </w:rPr>
        <w:t>foram</w:t>
      </w:r>
      <w:r>
        <w:rPr>
          <w:spacing w:val="-7"/>
          <w:sz w:val="24"/>
        </w:rPr>
        <w:t> </w:t>
      </w:r>
      <w:r>
        <w:rPr>
          <w:sz w:val="24"/>
        </w:rPr>
        <w:t>abertas,</w:t>
      </w:r>
      <w:r>
        <w:rPr>
          <w:spacing w:val="-9"/>
          <w:sz w:val="24"/>
        </w:rPr>
        <w:t> </w:t>
      </w:r>
      <w:r>
        <w:rPr>
          <w:sz w:val="24"/>
        </w:rPr>
        <w:t>ao</w:t>
      </w:r>
      <w:r>
        <w:rPr>
          <w:spacing w:val="-4"/>
          <w:sz w:val="24"/>
        </w:rPr>
        <w:t> </w:t>
      </w:r>
      <w:r>
        <w:rPr>
          <w:sz w:val="24"/>
        </w:rPr>
        <w:t>longo</w:t>
      </w:r>
      <w:r>
        <w:rPr>
          <w:spacing w:val="-4"/>
          <w:sz w:val="24"/>
        </w:rPr>
        <w:t> </w:t>
      </w:r>
      <w:r>
        <w:rPr>
          <w:sz w:val="24"/>
        </w:rPr>
        <w:t>de</w:t>
      </w:r>
      <w:r>
        <w:rPr>
          <w:spacing w:val="-6"/>
          <w:sz w:val="24"/>
        </w:rPr>
        <w:t> </w:t>
      </w:r>
      <w:r>
        <w:rPr>
          <w:sz w:val="24"/>
        </w:rPr>
        <w:t>2022, 813 vagas gratuitas para cursos de qualificação profissional, cursos técnicos e cursos rápidos de Informática, além de consultoria em soft skills, para o desenvolvimento de habilidades comportamentais voltadas ao mundo do trabalho.</w:t>
      </w:r>
    </w:p>
    <w:p>
      <w:pPr>
        <w:pStyle w:val="BodyText"/>
        <w:spacing w:before="187"/>
        <w:rPr>
          <w:sz w:val="24"/>
        </w:rPr>
      </w:pPr>
    </w:p>
    <w:p>
      <w:pPr>
        <w:pStyle w:val="ListParagraph"/>
        <w:numPr>
          <w:ilvl w:val="0"/>
          <w:numId w:val="2"/>
        </w:numPr>
        <w:tabs>
          <w:tab w:pos="1693" w:val="left" w:leader="none"/>
        </w:tabs>
        <w:spacing w:line="240" w:lineRule="auto" w:before="0" w:after="0"/>
        <w:ind w:left="1693" w:right="0" w:hanging="355"/>
        <w:jc w:val="both"/>
        <w:rPr>
          <w:b/>
          <w:sz w:val="28"/>
        </w:rPr>
      </w:pPr>
      <w:r>
        <w:rPr>
          <w:b/>
          <w:color w:val="1E3762"/>
          <w:sz w:val="28"/>
          <w:u w:val="single" w:color="1E3762"/>
        </w:rPr>
        <w:t>Andamento</w:t>
      </w:r>
      <w:r>
        <w:rPr>
          <w:b/>
          <w:color w:val="1E3762"/>
          <w:spacing w:val="-10"/>
          <w:sz w:val="28"/>
          <w:u w:val="single" w:color="1E3762"/>
        </w:rPr>
        <w:t> </w:t>
      </w:r>
      <w:r>
        <w:rPr>
          <w:b/>
          <w:color w:val="1E3762"/>
          <w:sz w:val="28"/>
          <w:u w:val="single" w:color="1E3762"/>
        </w:rPr>
        <w:t>do</w:t>
      </w:r>
      <w:r>
        <w:rPr>
          <w:b/>
          <w:color w:val="1E3762"/>
          <w:spacing w:val="-9"/>
          <w:sz w:val="28"/>
          <w:u w:val="single" w:color="1E3762"/>
        </w:rPr>
        <w:t> </w:t>
      </w:r>
      <w:r>
        <w:rPr>
          <w:b/>
          <w:color w:val="1E3762"/>
          <w:sz w:val="28"/>
          <w:u w:val="single" w:color="1E3762"/>
        </w:rPr>
        <w:t>processo</w:t>
      </w:r>
      <w:r>
        <w:rPr>
          <w:b/>
          <w:color w:val="1E3762"/>
          <w:spacing w:val="-8"/>
          <w:sz w:val="28"/>
          <w:u w:val="single" w:color="1E3762"/>
        </w:rPr>
        <w:t> </w:t>
      </w:r>
      <w:r>
        <w:rPr>
          <w:b/>
          <w:color w:val="1E3762"/>
          <w:sz w:val="28"/>
          <w:u w:val="single" w:color="1E3762"/>
        </w:rPr>
        <w:t>de</w:t>
      </w:r>
      <w:r>
        <w:rPr>
          <w:b/>
          <w:color w:val="1E3762"/>
          <w:spacing w:val="-11"/>
          <w:sz w:val="28"/>
          <w:u w:val="single" w:color="1E3762"/>
        </w:rPr>
        <w:t> </w:t>
      </w:r>
      <w:r>
        <w:rPr>
          <w:b/>
          <w:color w:val="1E3762"/>
          <w:spacing w:val="-2"/>
          <w:sz w:val="28"/>
          <w:u w:val="single" w:color="1E3762"/>
        </w:rPr>
        <w:t>desinvestimento</w:t>
      </w:r>
    </w:p>
    <w:p>
      <w:pPr>
        <w:spacing w:before="161"/>
        <w:ind w:left="981" w:right="987" w:firstLine="852"/>
        <w:jc w:val="both"/>
        <w:rPr>
          <w:sz w:val="24"/>
        </w:rPr>
      </w:pPr>
      <w:r>
        <w:rPr>
          <w:sz w:val="24"/>
        </w:rPr>
        <w:t>Conforme dito alhures, o processo de alienação desta subsidiária, que estava na fase vinculante, foi encerrado em dezembro de 2022, sem a venda das ações da ANSA. A partir do referido encerramento, a Araucária Nitrogenados S.A. aguarda avaliação dos próximos passos relacionados ao desinvestimento por parte de sua acionista única, Petrobras.</w:t>
      </w:r>
    </w:p>
    <w:p>
      <w:pPr>
        <w:spacing w:after="0"/>
        <w:jc w:val="both"/>
        <w:rPr>
          <w:sz w:val="24"/>
        </w:rPr>
        <w:sectPr>
          <w:pgSz w:w="11910" w:h="16840"/>
          <w:pgMar w:header="0" w:footer="864" w:top="1360" w:bottom="1060" w:left="720" w:right="700"/>
        </w:sectPr>
      </w:pPr>
    </w:p>
    <w:p>
      <w:pPr>
        <w:pStyle w:val="ListParagraph"/>
        <w:numPr>
          <w:ilvl w:val="0"/>
          <w:numId w:val="2"/>
        </w:numPr>
        <w:tabs>
          <w:tab w:pos="1693" w:val="left" w:leader="none"/>
        </w:tabs>
        <w:spacing w:line="240" w:lineRule="auto" w:before="16" w:after="0"/>
        <w:ind w:left="1693" w:right="0" w:hanging="355"/>
        <w:jc w:val="both"/>
        <w:rPr>
          <w:b/>
          <w:sz w:val="28"/>
        </w:rPr>
      </w:pPr>
      <w:r>
        <w:rPr>
          <w:b/>
          <w:color w:val="1E3762"/>
          <w:sz w:val="28"/>
          <w:u w:val="single" w:color="1E3762"/>
        </w:rPr>
        <w:t>Resultados</w:t>
      </w:r>
      <w:r>
        <w:rPr>
          <w:b/>
          <w:color w:val="1E3762"/>
          <w:spacing w:val="-15"/>
          <w:sz w:val="28"/>
          <w:u w:val="single" w:color="1E3762"/>
        </w:rPr>
        <w:t> </w:t>
      </w:r>
      <w:r>
        <w:rPr>
          <w:b/>
          <w:color w:val="1E3762"/>
          <w:spacing w:val="-2"/>
          <w:sz w:val="28"/>
          <w:u w:val="single" w:color="1E3762"/>
        </w:rPr>
        <w:t>financeiros</w:t>
      </w:r>
    </w:p>
    <w:p>
      <w:pPr>
        <w:spacing w:before="162"/>
        <w:ind w:left="981" w:right="989" w:firstLine="852"/>
        <w:jc w:val="both"/>
        <w:rPr>
          <w:sz w:val="24"/>
        </w:rPr>
      </w:pPr>
      <w:r>
        <w:rPr>
          <w:sz w:val="24"/>
        </w:rPr>
        <w:t>A companhia apresentou lucro líquido de R$ 1.472 mil em 2022, resultado obtido principalmente pela atualização monetária do saldo de créditos de PIS COFINS. O fato também impactou positivamente a conta de receitas financeiras, pela maior disponibilidade do valor aplicado.</w:t>
      </w:r>
    </w:p>
    <w:p>
      <w:pPr>
        <w:spacing w:before="162"/>
        <w:ind w:left="981" w:right="988" w:firstLine="852"/>
        <w:jc w:val="both"/>
        <w:rPr>
          <w:sz w:val="24"/>
        </w:rPr>
      </w:pPr>
      <w:r>
        <w:rPr>
          <w:sz w:val="24"/>
        </w:rPr>
        <w:t>Importante</w:t>
      </w:r>
      <w:r>
        <w:rPr>
          <w:spacing w:val="-5"/>
          <w:sz w:val="24"/>
        </w:rPr>
        <w:t> </w:t>
      </w:r>
      <w:r>
        <w:rPr>
          <w:sz w:val="24"/>
        </w:rPr>
        <w:t>destacar</w:t>
      </w:r>
      <w:r>
        <w:rPr>
          <w:spacing w:val="-4"/>
          <w:sz w:val="24"/>
        </w:rPr>
        <w:t> </w:t>
      </w:r>
      <w:r>
        <w:rPr>
          <w:sz w:val="24"/>
        </w:rPr>
        <w:t>também</w:t>
      </w:r>
      <w:r>
        <w:rPr>
          <w:spacing w:val="-4"/>
          <w:sz w:val="24"/>
        </w:rPr>
        <w:t> </w:t>
      </w:r>
      <w:r>
        <w:rPr>
          <w:sz w:val="24"/>
        </w:rPr>
        <w:t>a</w:t>
      </w:r>
      <w:r>
        <w:rPr>
          <w:spacing w:val="-3"/>
          <w:sz w:val="24"/>
        </w:rPr>
        <w:t> </w:t>
      </w:r>
      <w:r>
        <w:rPr>
          <w:sz w:val="24"/>
        </w:rPr>
        <w:t>contribuição</w:t>
      </w:r>
      <w:r>
        <w:rPr>
          <w:spacing w:val="-2"/>
          <w:sz w:val="24"/>
        </w:rPr>
        <w:t> </w:t>
      </w:r>
      <w:r>
        <w:rPr>
          <w:sz w:val="24"/>
        </w:rPr>
        <w:t>advinda</w:t>
      </w:r>
      <w:r>
        <w:rPr>
          <w:spacing w:val="-3"/>
          <w:sz w:val="24"/>
        </w:rPr>
        <w:t> </w:t>
      </w:r>
      <w:r>
        <w:rPr>
          <w:sz w:val="24"/>
        </w:rPr>
        <w:t>do</w:t>
      </w:r>
      <w:r>
        <w:rPr>
          <w:spacing w:val="-3"/>
          <w:sz w:val="24"/>
        </w:rPr>
        <w:t> </w:t>
      </w:r>
      <w:r>
        <w:rPr>
          <w:sz w:val="24"/>
        </w:rPr>
        <w:t>esforço</w:t>
      </w:r>
      <w:r>
        <w:rPr>
          <w:spacing w:val="-3"/>
          <w:sz w:val="24"/>
        </w:rPr>
        <w:t> </w:t>
      </w:r>
      <w:r>
        <w:rPr>
          <w:sz w:val="24"/>
        </w:rPr>
        <w:t>realizado</w:t>
      </w:r>
      <w:r>
        <w:rPr>
          <w:spacing w:val="-2"/>
          <w:sz w:val="24"/>
        </w:rPr>
        <w:t> </w:t>
      </w:r>
      <w:r>
        <w:rPr>
          <w:sz w:val="24"/>
        </w:rPr>
        <w:t>pela administração</w:t>
      </w:r>
      <w:r>
        <w:rPr>
          <w:spacing w:val="-11"/>
          <w:sz w:val="24"/>
        </w:rPr>
        <w:t> </w:t>
      </w:r>
      <w:r>
        <w:rPr>
          <w:sz w:val="24"/>
        </w:rPr>
        <w:t>da</w:t>
      </w:r>
      <w:r>
        <w:rPr>
          <w:spacing w:val="-11"/>
          <w:sz w:val="24"/>
        </w:rPr>
        <w:t> </w:t>
      </w:r>
      <w:r>
        <w:rPr>
          <w:sz w:val="24"/>
        </w:rPr>
        <w:t>companhia</w:t>
      </w:r>
      <w:r>
        <w:rPr>
          <w:spacing w:val="-13"/>
          <w:sz w:val="24"/>
        </w:rPr>
        <w:t> </w:t>
      </w:r>
      <w:r>
        <w:rPr>
          <w:sz w:val="24"/>
        </w:rPr>
        <w:t>na</w:t>
      </w:r>
      <w:r>
        <w:rPr>
          <w:spacing w:val="-11"/>
          <w:sz w:val="24"/>
        </w:rPr>
        <w:t> </w:t>
      </w:r>
      <w:r>
        <w:rPr>
          <w:sz w:val="24"/>
        </w:rPr>
        <w:t>redução</w:t>
      </w:r>
      <w:r>
        <w:rPr>
          <w:spacing w:val="-10"/>
          <w:sz w:val="24"/>
        </w:rPr>
        <w:t> </w:t>
      </w:r>
      <w:r>
        <w:rPr>
          <w:sz w:val="24"/>
        </w:rPr>
        <w:t>de</w:t>
      </w:r>
      <w:r>
        <w:rPr>
          <w:spacing w:val="-10"/>
          <w:sz w:val="24"/>
        </w:rPr>
        <w:t> </w:t>
      </w:r>
      <w:r>
        <w:rPr>
          <w:sz w:val="24"/>
        </w:rPr>
        <w:t>custos</w:t>
      </w:r>
      <w:r>
        <w:rPr>
          <w:spacing w:val="-11"/>
          <w:sz w:val="24"/>
        </w:rPr>
        <w:t> </w:t>
      </w:r>
      <w:r>
        <w:rPr>
          <w:sz w:val="24"/>
        </w:rPr>
        <w:t>com</w:t>
      </w:r>
      <w:r>
        <w:rPr>
          <w:spacing w:val="-12"/>
          <w:sz w:val="24"/>
        </w:rPr>
        <w:t> </w:t>
      </w:r>
      <w:r>
        <w:rPr>
          <w:sz w:val="24"/>
        </w:rPr>
        <w:t>a</w:t>
      </w:r>
      <w:r>
        <w:rPr>
          <w:spacing w:val="-12"/>
          <w:sz w:val="24"/>
        </w:rPr>
        <w:t> </w:t>
      </w:r>
      <w:r>
        <w:rPr>
          <w:sz w:val="24"/>
        </w:rPr>
        <w:t>conservação</w:t>
      </w:r>
      <w:r>
        <w:rPr>
          <w:spacing w:val="-12"/>
          <w:sz w:val="24"/>
        </w:rPr>
        <w:t> </w:t>
      </w:r>
      <w:r>
        <w:rPr>
          <w:sz w:val="24"/>
        </w:rPr>
        <w:t>e</w:t>
      </w:r>
      <w:r>
        <w:rPr>
          <w:spacing w:val="-10"/>
          <w:sz w:val="24"/>
        </w:rPr>
        <w:t> </w:t>
      </w:r>
      <w:r>
        <w:rPr>
          <w:sz w:val="24"/>
        </w:rPr>
        <w:t>manutenção</w:t>
      </w:r>
      <w:r>
        <w:rPr>
          <w:spacing w:val="-13"/>
          <w:sz w:val="24"/>
        </w:rPr>
        <w:t> </w:t>
      </w:r>
      <w:r>
        <w:rPr>
          <w:sz w:val="24"/>
        </w:rPr>
        <w:t>da planta hibernada, realizando diversas ações de otimização de recursos.</w:t>
      </w:r>
    </w:p>
    <w:p>
      <w:pPr>
        <w:spacing w:before="156"/>
        <w:ind w:left="981" w:right="987" w:firstLine="852"/>
        <w:jc w:val="both"/>
        <w:rPr>
          <w:sz w:val="24"/>
        </w:rPr>
      </w:pPr>
      <w:r>
        <w:rPr>
          <w:sz w:val="24"/>
        </w:rPr>
        <w:t>Em virtude da hibernação de sua planta industrial,</w:t>
      </w:r>
      <w:r>
        <w:rPr>
          <w:spacing w:val="-1"/>
          <w:sz w:val="24"/>
        </w:rPr>
        <w:t> </w:t>
      </w:r>
      <w:r>
        <w:rPr>
          <w:sz w:val="24"/>
        </w:rPr>
        <w:t>a companhia não dispõe</w:t>
      </w:r>
      <w:r>
        <w:rPr>
          <w:spacing w:val="-1"/>
          <w:sz w:val="24"/>
        </w:rPr>
        <w:t> </w:t>
      </w:r>
      <w:r>
        <w:rPr>
          <w:sz w:val="24"/>
        </w:rPr>
        <w:t>de geração de receita para</w:t>
      </w:r>
      <w:r>
        <w:rPr>
          <w:spacing w:val="-1"/>
          <w:sz w:val="24"/>
        </w:rPr>
        <w:t> </w:t>
      </w:r>
      <w:r>
        <w:rPr>
          <w:sz w:val="24"/>
        </w:rPr>
        <w:t>o atendimento de seus compromissos financeiros. No entanto, de acordo com o fluxo de caixa projetado para 2023, não há a previsão de necessidade de aporte da controladora para suportar os compromissos financeiros previstos para o exercício de 2023, nas condições atuais em que se encontra a fábrica.</w:t>
      </w:r>
    </w:p>
    <w:p>
      <w:pPr>
        <w:pStyle w:val="BodyText"/>
        <w:spacing w:before="190"/>
        <w:rPr>
          <w:sz w:val="24"/>
        </w:rPr>
      </w:pPr>
    </w:p>
    <w:p>
      <w:pPr>
        <w:pStyle w:val="ListParagraph"/>
        <w:numPr>
          <w:ilvl w:val="0"/>
          <w:numId w:val="2"/>
        </w:numPr>
        <w:tabs>
          <w:tab w:pos="1693" w:val="left" w:leader="none"/>
        </w:tabs>
        <w:spacing w:line="240" w:lineRule="auto" w:before="0" w:after="0"/>
        <w:ind w:left="1693" w:right="0" w:hanging="355"/>
        <w:jc w:val="both"/>
        <w:rPr>
          <w:b/>
          <w:sz w:val="28"/>
        </w:rPr>
      </w:pPr>
      <w:r>
        <w:rPr>
          <w:b/>
          <w:color w:val="1E3762"/>
          <w:sz w:val="28"/>
          <w:u w:val="single" w:color="1E3762"/>
        </w:rPr>
        <w:t>Membros</w:t>
      </w:r>
      <w:r>
        <w:rPr>
          <w:b/>
          <w:color w:val="1E3762"/>
          <w:spacing w:val="-9"/>
          <w:sz w:val="28"/>
          <w:u w:val="single" w:color="1E3762"/>
        </w:rPr>
        <w:t> </w:t>
      </w:r>
      <w:r>
        <w:rPr>
          <w:b/>
          <w:color w:val="1E3762"/>
          <w:sz w:val="28"/>
          <w:u w:val="single" w:color="1E3762"/>
        </w:rPr>
        <w:t>da</w:t>
      </w:r>
      <w:r>
        <w:rPr>
          <w:b/>
          <w:color w:val="1E3762"/>
          <w:spacing w:val="-9"/>
          <w:sz w:val="28"/>
          <w:u w:val="single" w:color="1E3762"/>
        </w:rPr>
        <w:t> </w:t>
      </w:r>
      <w:r>
        <w:rPr>
          <w:b/>
          <w:color w:val="1E3762"/>
          <w:sz w:val="28"/>
          <w:u w:val="single" w:color="1E3762"/>
        </w:rPr>
        <w:t>Diretoria</w:t>
      </w:r>
      <w:r>
        <w:rPr>
          <w:b/>
          <w:color w:val="1E3762"/>
          <w:spacing w:val="-10"/>
          <w:sz w:val="28"/>
          <w:u w:val="single" w:color="1E3762"/>
        </w:rPr>
        <w:t> </w:t>
      </w:r>
      <w:r>
        <w:rPr>
          <w:b/>
          <w:color w:val="1E3762"/>
          <w:sz w:val="28"/>
          <w:u w:val="single" w:color="1E3762"/>
        </w:rPr>
        <w:t>Executiva</w:t>
      </w:r>
      <w:r>
        <w:rPr>
          <w:b/>
          <w:color w:val="1E3762"/>
          <w:spacing w:val="-15"/>
          <w:sz w:val="28"/>
          <w:u w:val="single" w:color="1E3762"/>
        </w:rPr>
        <w:t> </w:t>
      </w:r>
      <w:r>
        <w:rPr>
          <w:b/>
          <w:color w:val="1E3762"/>
          <w:spacing w:val="-2"/>
          <w:sz w:val="28"/>
          <w:u w:val="single" w:color="1E3762"/>
        </w:rPr>
        <w:t>(2022)</w:t>
      </w:r>
    </w:p>
    <w:p>
      <w:pPr>
        <w:pStyle w:val="BodyText"/>
        <w:spacing w:before="216"/>
        <w:rPr>
          <w:b/>
          <w:sz w:val="24"/>
        </w:rPr>
      </w:pPr>
    </w:p>
    <w:p>
      <w:pPr>
        <w:spacing w:before="0"/>
        <w:ind w:left="1264" w:right="0" w:firstLine="0"/>
        <w:jc w:val="left"/>
        <w:rPr>
          <w:sz w:val="24"/>
        </w:rPr>
      </w:pPr>
      <w:r>
        <w:rPr>
          <w:sz w:val="24"/>
        </w:rPr>
        <w:t>Felipe</w:t>
      </w:r>
      <w:r>
        <w:rPr>
          <w:spacing w:val="-5"/>
          <w:sz w:val="24"/>
        </w:rPr>
        <w:t> </w:t>
      </w:r>
      <w:r>
        <w:rPr>
          <w:sz w:val="24"/>
        </w:rPr>
        <w:t>Leonardo</w:t>
      </w:r>
      <w:r>
        <w:rPr>
          <w:spacing w:val="-1"/>
          <w:sz w:val="24"/>
        </w:rPr>
        <w:t> </w:t>
      </w:r>
      <w:r>
        <w:rPr>
          <w:sz w:val="24"/>
        </w:rPr>
        <w:t>Gomes</w:t>
      </w:r>
      <w:r>
        <w:rPr>
          <w:spacing w:val="-3"/>
          <w:sz w:val="24"/>
        </w:rPr>
        <w:t> </w:t>
      </w:r>
      <w:r>
        <w:rPr>
          <w:sz w:val="24"/>
        </w:rPr>
        <w:t>‐</w:t>
      </w:r>
      <w:r>
        <w:rPr>
          <w:spacing w:val="-2"/>
          <w:sz w:val="24"/>
        </w:rPr>
        <w:t> </w:t>
      </w:r>
      <w:r>
        <w:rPr>
          <w:sz w:val="24"/>
        </w:rPr>
        <w:t>Diretor</w:t>
      </w:r>
      <w:r>
        <w:rPr>
          <w:spacing w:val="-2"/>
          <w:sz w:val="24"/>
        </w:rPr>
        <w:t> Presidente</w:t>
      </w:r>
    </w:p>
    <w:p>
      <w:pPr>
        <w:spacing w:before="1"/>
        <w:ind w:left="1255" w:right="2870" w:firstLine="8"/>
        <w:jc w:val="left"/>
        <w:rPr>
          <w:sz w:val="24"/>
        </w:rPr>
      </w:pPr>
      <w:r>
        <w:rPr>
          <w:sz w:val="24"/>
        </w:rPr>
        <w:t>Herbert Luiz de Araújo Guimarães – Diretor Financeiro Alessandro</w:t>
      </w:r>
      <w:r>
        <w:rPr>
          <w:spacing w:val="-6"/>
          <w:sz w:val="24"/>
        </w:rPr>
        <w:t> </w:t>
      </w:r>
      <w:r>
        <w:rPr>
          <w:sz w:val="24"/>
        </w:rPr>
        <w:t>Moises</w:t>
      </w:r>
      <w:r>
        <w:rPr>
          <w:spacing w:val="-6"/>
          <w:sz w:val="24"/>
        </w:rPr>
        <w:t> </w:t>
      </w:r>
      <w:r>
        <w:rPr>
          <w:sz w:val="24"/>
        </w:rPr>
        <w:t>Serrano</w:t>
      </w:r>
      <w:r>
        <w:rPr>
          <w:spacing w:val="-5"/>
          <w:sz w:val="24"/>
        </w:rPr>
        <w:t> </w:t>
      </w:r>
      <w:r>
        <w:rPr>
          <w:sz w:val="24"/>
        </w:rPr>
        <w:t>‐</w:t>
      </w:r>
      <w:r>
        <w:rPr>
          <w:spacing w:val="-6"/>
          <w:sz w:val="24"/>
        </w:rPr>
        <w:t> </w:t>
      </w:r>
      <w:r>
        <w:rPr>
          <w:sz w:val="24"/>
        </w:rPr>
        <w:t>Diretor</w:t>
      </w:r>
      <w:r>
        <w:rPr>
          <w:spacing w:val="-6"/>
          <w:sz w:val="24"/>
        </w:rPr>
        <w:t> </w:t>
      </w:r>
      <w:r>
        <w:rPr>
          <w:sz w:val="24"/>
        </w:rPr>
        <w:t>Administrativo</w:t>
      </w:r>
      <w:r>
        <w:rPr>
          <w:spacing w:val="-5"/>
          <w:sz w:val="24"/>
        </w:rPr>
        <w:t> </w:t>
      </w:r>
      <w:r>
        <w:rPr>
          <w:sz w:val="24"/>
        </w:rPr>
        <w:t>e</w:t>
      </w:r>
      <w:r>
        <w:rPr>
          <w:spacing w:val="-5"/>
          <w:sz w:val="24"/>
        </w:rPr>
        <w:t> </w:t>
      </w:r>
      <w:r>
        <w:rPr>
          <w:sz w:val="24"/>
        </w:rPr>
        <w:t>Jurídico</w:t>
      </w:r>
    </w:p>
    <w:p>
      <w:pPr>
        <w:spacing w:after="0"/>
        <w:jc w:val="left"/>
        <w:rPr>
          <w:sz w:val="24"/>
        </w:rPr>
        <w:sectPr>
          <w:pgSz w:w="11910" w:h="16840"/>
          <w:pgMar w:header="0" w:footer="864" w:top="1380" w:bottom="1060" w:left="720" w:right="700"/>
        </w:sectPr>
      </w:pPr>
    </w:p>
    <w:p>
      <w:pPr>
        <w:pStyle w:val="BodyText"/>
        <w:ind w:left="836"/>
        <w:rPr>
          <w:sz w:val="20"/>
        </w:rPr>
      </w:pPr>
      <w:r>
        <w:rPr>
          <w:sz w:val="20"/>
        </w:rPr>
        <mc:AlternateContent>
          <mc:Choice Requires="wps">
            <w:drawing>
              <wp:inline distT="0" distB="0" distL="0" distR="0">
                <wp:extent cx="963930" cy="379095"/>
                <wp:effectExtent l="0" t="0" r="0" b="0"/>
                <wp:docPr id="10" name="Group 10"/>
                <wp:cNvGraphicFramePr>
                  <a:graphicFrameLocks/>
                </wp:cNvGraphicFramePr>
                <a:graphic>
                  <a:graphicData uri="http://schemas.microsoft.com/office/word/2010/wordprocessingGroup">
                    <wpg:wgp>
                      <wpg:cNvPr id="10" name="Group 10"/>
                      <wpg:cNvGrpSpPr/>
                      <wpg:grpSpPr>
                        <a:xfrm>
                          <a:off x="0" y="0"/>
                          <a:ext cx="963930" cy="379095"/>
                          <a:chExt cx="963930" cy="379095"/>
                        </a:xfrm>
                      </wpg:grpSpPr>
                      <wps:wsp>
                        <wps:cNvPr id="11" name="Graphic 11"/>
                        <wps:cNvSpPr/>
                        <wps:spPr>
                          <a:xfrm>
                            <a:off x="0" y="0"/>
                            <a:ext cx="963930" cy="379095"/>
                          </a:xfrm>
                          <a:custGeom>
                            <a:avLst/>
                            <a:gdLst/>
                            <a:ahLst/>
                            <a:cxnLst/>
                            <a:rect l="l" t="t" r="r" b="b"/>
                            <a:pathLst>
                              <a:path w="963930" h="379095">
                                <a:moveTo>
                                  <a:pt x="756666" y="296418"/>
                                </a:moveTo>
                                <a:lnTo>
                                  <a:pt x="693419" y="296418"/>
                                </a:lnTo>
                                <a:lnTo>
                                  <a:pt x="694182" y="314706"/>
                                </a:lnTo>
                                <a:lnTo>
                                  <a:pt x="710464" y="352248"/>
                                </a:lnTo>
                                <a:lnTo>
                                  <a:pt x="741605" y="372098"/>
                                </a:lnTo>
                                <a:lnTo>
                                  <a:pt x="781370" y="378968"/>
                                </a:lnTo>
                                <a:lnTo>
                                  <a:pt x="823520" y="377570"/>
                                </a:lnTo>
                                <a:lnTo>
                                  <a:pt x="861822" y="372618"/>
                                </a:lnTo>
                                <a:lnTo>
                                  <a:pt x="886968" y="367284"/>
                                </a:lnTo>
                                <a:lnTo>
                                  <a:pt x="893826" y="339852"/>
                                </a:lnTo>
                                <a:lnTo>
                                  <a:pt x="806196" y="339852"/>
                                </a:lnTo>
                                <a:lnTo>
                                  <a:pt x="785622" y="337566"/>
                                </a:lnTo>
                                <a:lnTo>
                                  <a:pt x="770382" y="329946"/>
                                </a:lnTo>
                                <a:lnTo>
                                  <a:pt x="760476" y="315468"/>
                                </a:lnTo>
                                <a:lnTo>
                                  <a:pt x="756666" y="296418"/>
                                </a:lnTo>
                                <a:close/>
                              </a:path>
                              <a:path w="963930" h="379095">
                                <a:moveTo>
                                  <a:pt x="268986" y="0"/>
                                </a:moveTo>
                                <a:lnTo>
                                  <a:pt x="55625" y="0"/>
                                </a:lnTo>
                                <a:lnTo>
                                  <a:pt x="55625" y="196596"/>
                                </a:lnTo>
                                <a:lnTo>
                                  <a:pt x="0" y="374904"/>
                                </a:lnTo>
                                <a:lnTo>
                                  <a:pt x="48767" y="374904"/>
                                </a:lnTo>
                                <a:lnTo>
                                  <a:pt x="72389" y="296418"/>
                                </a:lnTo>
                                <a:lnTo>
                                  <a:pt x="963930" y="296418"/>
                                </a:lnTo>
                                <a:lnTo>
                                  <a:pt x="963930" y="288798"/>
                                </a:lnTo>
                                <a:lnTo>
                                  <a:pt x="135636" y="288798"/>
                                </a:lnTo>
                                <a:lnTo>
                                  <a:pt x="128015" y="273558"/>
                                </a:lnTo>
                                <a:lnTo>
                                  <a:pt x="145542" y="256032"/>
                                </a:lnTo>
                                <a:lnTo>
                                  <a:pt x="85343" y="256032"/>
                                </a:lnTo>
                                <a:lnTo>
                                  <a:pt x="110489" y="172212"/>
                                </a:lnTo>
                                <a:lnTo>
                                  <a:pt x="63245" y="172212"/>
                                </a:lnTo>
                                <a:lnTo>
                                  <a:pt x="63245" y="7620"/>
                                </a:lnTo>
                                <a:lnTo>
                                  <a:pt x="268986" y="7620"/>
                                </a:lnTo>
                                <a:lnTo>
                                  <a:pt x="268986" y="0"/>
                                </a:lnTo>
                                <a:close/>
                              </a:path>
                              <a:path w="963930" h="379095">
                                <a:moveTo>
                                  <a:pt x="138684" y="296418"/>
                                </a:moveTo>
                                <a:lnTo>
                                  <a:pt x="79247" y="296418"/>
                                </a:lnTo>
                                <a:lnTo>
                                  <a:pt x="118872" y="374904"/>
                                </a:lnTo>
                                <a:lnTo>
                                  <a:pt x="176784" y="374904"/>
                                </a:lnTo>
                                <a:lnTo>
                                  <a:pt x="138684" y="296418"/>
                                </a:lnTo>
                                <a:close/>
                              </a:path>
                              <a:path w="963930" h="379095">
                                <a:moveTo>
                                  <a:pt x="278130" y="296418"/>
                                </a:moveTo>
                                <a:lnTo>
                                  <a:pt x="226314" y="296418"/>
                                </a:lnTo>
                                <a:lnTo>
                                  <a:pt x="201929" y="374904"/>
                                </a:lnTo>
                                <a:lnTo>
                                  <a:pt x="254508" y="374904"/>
                                </a:lnTo>
                                <a:lnTo>
                                  <a:pt x="278130" y="296418"/>
                                </a:lnTo>
                                <a:close/>
                              </a:path>
                              <a:path w="963930" h="379095">
                                <a:moveTo>
                                  <a:pt x="459486" y="296418"/>
                                </a:moveTo>
                                <a:lnTo>
                                  <a:pt x="406908" y="296418"/>
                                </a:lnTo>
                                <a:lnTo>
                                  <a:pt x="384048" y="374904"/>
                                </a:lnTo>
                                <a:lnTo>
                                  <a:pt x="435863" y="374904"/>
                                </a:lnTo>
                                <a:lnTo>
                                  <a:pt x="459486" y="296418"/>
                                </a:lnTo>
                                <a:close/>
                              </a:path>
                              <a:path w="963930" h="379095">
                                <a:moveTo>
                                  <a:pt x="579119" y="296418"/>
                                </a:moveTo>
                                <a:lnTo>
                                  <a:pt x="483108" y="296418"/>
                                </a:lnTo>
                                <a:lnTo>
                                  <a:pt x="483869" y="374904"/>
                                </a:lnTo>
                                <a:lnTo>
                                  <a:pt x="528066" y="374904"/>
                                </a:lnTo>
                                <a:lnTo>
                                  <a:pt x="579119" y="296418"/>
                                </a:lnTo>
                                <a:close/>
                              </a:path>
                              <a:path w="963930" h="379095">
                                <a:moveTo>
                                  <a:pt x="663702" y="296418"/>
                                </a:moveTo>
                                <a:lnTo>
                                  <a:pt x="611886" y="296418"/>
                                </a:lnTo>
                                <a:lnTo>
                                  <a:pt x="595122" y="374904"/>
                                </a:lnTo>
                                <a:lnTo>
                                  <a:pt x="646938" y="374904"/>
                                </a:lnTo>
                                <a:lnTo>
                                  <a:pt x="663702" y="296418"/>
                                </a:lnTo>
                                <a:close/>
                              </a:path>
                              <a:path w="963930" h="379095">
                                <a:moveTo>
                                  <a:pt x="904494" y="296418"/>
                                </a:moveTo>
                                <a:lnTo>
                                  <a:pt x="849630" y="296418"/>
                                </a:lnTo>
                                <a:lnTo>
                                  <a:pt x="838962" y="336804"/>
                                </a:lnTo>
                                <a:lnTo>
                                  <a:pt x="830580" y="338328"/>
                                </a:lnTo>
                                <a:lnTo>
                                  <a:pt x="822197" y="338328"/>
                                </a:lnTo>
                                <a:lnTo>
                                  <a:pt x="813816" y="339852"/>
                                </a:lnTo>
                                <a:lnTo>
                                  <a:pt x="893826" y="339852"/>
                                </a:lnTo>
                                <a:lnTo>
                                  <a:pt x="904494" y="296418"/>
                                </a:lnTo>
                                <a:close/>
                              </a:path>
                              <a:path w="963930" h="379095">
                                <a:moveTo>
                                  <a:pt x="268986" y="7620"/>
                                </a:moveTo>
                                <a:lnTo>
                                  <a:pt x="261365" y="7620"/>
                                </a:lnTo>
                                <a:lnTo>
                                  <a:pt x="261365" y="182118"/>
                                </a:lnTo>
                                <a:lnTo>
                                  <a:pt x="259079" y="192786"/>
                                </a:lnTo>
                                <a:lnTo>
                                  <a:pt x="229361" y="285750"/>
                                </a:lnTo>
                                <a:lnTo>
                                  <a:pt x="228600" y="288798"/>
                                </a:lnTo>
                                <a:lnTo>
                                  <a:pt x="356615" y="288798"/>
                                </a:lnTo>
                                <a:lnTo>
                                  <a:pt x="374904" y="280416"/>
                                </a:lnTo>
                                <a:lnTo>
                                  <a:pt x="388620" y="267462"/>
                                </a:lnTo>
                                <a:lnTo>
                                  <a:pt x="392430" y="262128"/>
                                </a:lnTo>
                                <a:lnTo>
                                  <a:pt x="289559" y="262128"/>
                                </a:lnTo>
                                <a:lnTo>
                                  <a:pt x="296417" y="240030"/>
                                </a:lnTo>
                                <a:lnTo>
                                  <a:pt x="299466" y="229362"/>
                                </a:lnTo>
                                <a:lnTo>
                                  <a:pt x="304800" y="204978"/>
                                </a:lnTo>
                                <a:lnTo>
                                  <a:pt x="406145" y="204978"/>
                                </a:lnTo>
                                <a:lnTo>
                                  <a:pt x="369570" y="173736"/>
                                </a:lnTo>
                                <a:lnTo>
                                  <a:pt x="352806" y="172212"/>
                                </a:lnTo>
                                <a:lnTo>
                                  <a:pt x="268986" y="172212"/>
                                </a:lnTo>
                                <a:lnTo>
                                  <a:pt x="268986" y="7620"/>
                                </a:lnTo>
                                <a:close/>
                              </a:path>
                              <a:path w="963930" h="379095">
                                <a:moveTo>
                                  <a:pt x="731520" y="0"/>
                                </a:moveTo>
                                <a:lnTo>
                                  <a:pt x="518159" y="0"/>
                                </a:lnTo>
                                <a:lnTo>
                                  <a:pt x="518159" y="172212"/>
                                </a:lnTo>
                                <a:lnTo>
                                  <a:pt x="442722" y="172212"/>
                                </a:lnTo>
                                <a:lnTo>
                                  <a:pt x="409194" y="288798"/>
                                </a:lnTo>
                                <a:lnTo>
                                  <a:pt x="461009" y="288798"/>
                                </a:lnTo>
                                <a:lnTo>
                                  <a:pt x="482345" y="216408"/>
                                </a:lnTo>
                                <a:lnTo>
                                  <a:pt x="525780" y="216408"/>
                                </a:lnTo>
                                <a:lnTo>
                                  <a:pt x="525780" y="7620"/>
                                </a:lnTo>
                                <a:lnTo>
                                  <a:pt x="731520" y="7620"/>
                                </a:lnTo>
                                <a:lnTo>
                                  <a:pt x="731520" y="0"/>
                                </a:lnTo>
                                <a:close/>
                              </a:path>
                              <a:path w="963930" h="379095">
                                <a:moveTo>
                                  <a:pt x="525780" y="216408"/>
                                </a:moveTo>
                                <a:lnTo>
                                  <a:pt x="482345" y="216408"/>
                                </a:lnTo>
                                <a:lnTo>
                                  <a:pt x="483108" y="288798"/>
                                </a:lnTo>
                                <a:lnTo>
                                  <a:pt x="525780" y="288798"/>
                                </a:lnTo>
                                <a:lnTo>
                                  <a:pt x="525780" y="216408"/>
                                </a:lnTo>
                                <a:close/>
                              </a:path>
                              <a:path w="963930" h="379095">
                                <a:moveTo>
                                  <a:pt x="690372" y="172212"/>
                                </a:moveTo>
                                <a:lnTo>
                                  <a:pt x="605790" y="172212"/>
                                </a:lnTo>
                                <a:lnTo>
                                  <a:pt x="531113" y="288798"/>
                                </a:lnTo>
                                <a:lnTo>
                                  <a:pt x="583691" y="288798"/>
                                </a:lnTo>
                                <a:lnTo>
                                  <a:pt x="628650" y="219456"/>
                                </a:lnTo>
                                <a:lnTo>
                                  <a:pt x="680466" y="219456"/>
                                </a:lnTo>
                                <a:lnTo>
                                  <a:pt x="690372" y="172212"/>
                                </a:lnTo>
                                <a:close/>
                              </a:path>
                              <a:path w="963930" h="379095">
                                <a:moveTo>
                                  <a:pt x="680466" y="219456"/>
                                </a:moveTo>
                                <a:lnTo>
                                  <a:pt x="628650" y="219456"/>
                                </a:lnTo>
                                <a:lnTo>
                                  <a:pt x="613410" y="288798"/>
                                </a:lnTo>
                                <a:lnTo>
                                  <a:pt x="665988" y="288798"/>
                                </a:lnTo>
                                <a:lnTo>
                                  <a:pt x="680466" y="219456"/>
                                </a:lnTo>
                                <a:close/>
                              </a:path>
                              <a:path w="963930" h="379095">
                                <a:moveTo>
                                  <a:pt x="731520" y="7620"/>
                                </a:moveTo>
                                <a:lnTo>
                                  <a:pt x="723900" y="7620"/>
                                </a:lnTo>
                                <a:lnTo>
                                  <a:pt x="723900" y="216408"/>
                                </a:lnTo>
                                <a:lnTo>
                                  <a:pt x="715518" y="230124"/>
                                </a:lnTo>
                                <a:lnTo>
                                  <a:pt x="708732" y="242735"/>
                                </a:lnTo>
                                <a:lnTo>
                                  <a:pt x="702897" y="255836"/>
                                </a:lnTo>
                                <a:lnTo>
                                  <a:pt x="698419" y="269416"/>
                                </a:lnTo>
                                <a:lnTo>
                                  <a:pt x="695706" y="283464"/>
                                </a:lnTo>
                                <a:lnTo>
                                  <a:pt x="694182" y="288798"/>
                                </a:lnTo>
                                <a:lnTo>
                                  <a:pt x="757428" y="288798"/>
                                </a:lnTo>
                                <a:lnTo>
                                  <a:pt x="757428" y="282702"/>
                                </a:lnTo>
                                <a:lnTo>
                                  <a:pt x="763044" y="260356"/>
                                </a:lnTo>
                                <a:lnTo>
                                  <a:pt x="772701" y="239125"/>
                                </a:lnTo>
                                <a:lnTo>
                                  <a:pt x="786722" y="220822"/>
                                </a:lnTo>
                                <a:lnTo>
                                  <a:pt x="805434" y="207264"/>
                                </a:lnTo>
                                <a:lnTo>
                                  <a:pt x="810006" y="205740"/>
                                </a:lnTo>
                                <a:lnTo>
                                  <a:pt x="731520" y="205740"/>
                                </a:lnTo>
                                <a:lnTo>
                                  <a:pt x="731520" y="7620"/>
                                </a:lnTo>
                                <a:close/>
                              </a:path>
                              <a:path w="963930" h="379095">
                                <a:moveTo>
                                  <a:pt x="914400" y="256794"/>
                                </a:moveTo>
                                <a:lnTo>
                                  <a:pt x="814578" y="256794"/>
                                </a:lnTo>
                                <a:lnTo>
                                  <a:pt x="806196" y="288798"/>
                                </a:lnTo>
                                <a:lnTo>
                                  <a:pt x="906018" y="288798"/>
                                </a:lnTo>
                                <a:lnTo>
                                  <a:pt x="914400" y="256794"/>
                                </a:lnTo>
                                <a:close/>
                              </a:path>
                              <a:path w="963930" h="379095">
                                <a:moveTo>
                                  <a:pt x="963930" y="7620"/>
                                </a:moveTo>
                                <a:lnTo>
                                  <a:pt x="956309" y="7620"/>
                                </a:lnTo>
                                <a:lnTo>
                                  <a:pt x="956309" y="288798"/>
                                </a:lnTo>
                                <a:lnTo>
                                  <a:pt x="963930" y="288798"/>
                                </a:lnTo>
                                <a:lnTo>
                                  <a:pt x="963930" y="7620"/>
                                </a:lnTo>
                                <a:close/>
                              </a:path>
                              <a:path w="963930" h="379095">
                                <a:moveTo>
                                  <a:pt x="406145" y="204978"/>
                                </a:moveTo>
                                <a:lnTo>
                                  <a:pt x="335280" y="204978"/>
                                </a:lnTo>
                                <a:lnTo>
                                  <a:pt x="344423" y="205740"/>
                                </a:lnTo>
                                <a:lnTo>
                                  <a:pt x="351281" y="208026"/>
                                </a:lnTo>
                                <a:lnTo>
                                  <a:pt x="355091" y="211074"/>
                                </a:lnTo>
                                <a:lnTo>
                                  <a:pt x="358140" y="214884"/>
                                </a:lnTo>
                                <a:lnTo>
                                  <a:pt x="358140" y="221742"/>
                                </a:lnTo>
                                <a:lnTo>
                                  <a:pt x="331470" y="258318"/>
                                </a:lnTo>
                                <a:lnTo>
                                  <a:pt x="316230" y="260604"/>
                                </a:lnTo>
                                <a:lnTo>
                                  <a:pt x="314706" y="262128"/>
                                </a:lnTo>
                                <a:lnTo>
                                  <a:pt x="392430" y="262128"/>
                                </a:lnTo>
                                <a:lnTo>
                                  <a:pt x="399288" y="252222"/>
                                </a:lnTo>
                                <a:lnTo>
                                  <a:pt x="402794" y="240030"/>
                                </a:lnTo>
                                <a:lnTo>
                                  <a:pt x="405541" y="229114"/>
                                </a:lnTo>
                                <a:lnTo>
                                  <a:pt x="406734" y="219456"/>
                                </a:lnTo>
                                <a:lnTo>
                                  <a:pt x="406724" y="214884"/>
                                </a:lnTo>
                                <a:lnTo>
                                  <a:pt x="406242" y="207264"/>
                                </a:lnTo>
                                <a:lnTo>
                                  <a:pt x="406145" y="204978"/>
                                </a:lnTo>
                                <a:close/>
                              </a:path>
                              <a:path w="963930" h="379095">
                                <a:moveTo>
                                  <a:pt x="228600" y="172212"/>
                                </a:moveTo>
                                <a:lnTo>
                                  <a:pt x="163829" y="172212"/>
                                </a:lnTo>
                                <a:lnTo>
                                  <a:pt x="85343" y="256032"/>
                                </a:lnTo>
                                <a:lnTo>
                                  <a:pt x="145542" y="256032"/>
                                </a:lnTo>
                                <a:lnTo>
                                  <a:pt x="228600" y="172212"/>
                                </a:lnTo>
                                <a:close/>
                              </a:path>
                              <a:path w="963930" h="379095">
                                <a:moveTo>
                                  <a:pt x="923544" y="201168"/>
                                </a:moveTo>
                                <a:lnTo>
                                  <a:pt x="832866" y="201168"/>
                                </a:lnTo>
                                <a:lnTo>
                                  <a:pt x="844296" y="201930"/>
                                </a:lnTo>
                                <a:lnTo>
                                  <a:pt x="854201" y="206502"/>
                                </a:lnTo>
                                <a:lnTo>
                                  <a:pt x="861060" y="215646"/>
                                </a:lnTo>
                                <a:lnTo>
                                  <a:pt x="862584" y="229362"/>
                                </a:lnTo>
                                <a:lnTo>
                                  <a:pt x="922019" y="229362"/>
                                </a:lnTo>
                                <a:lnTo>
                                  <a:pt x="924306" y="220218"/>
                                </a:lnTo>
                                <a:lnTo>
                                  <a:pt x="925068" y="208788"/>
                                </a:lnTo>
                                <a:lnTo>
                                  <a:pt x="923544" y="201168"/>
                                </a:lnTo>
                                <a:close/>
                              </a:path>
                              <a:path w="963930" h="379095">
                                <a:moveTo>
                                  <a:pt x="963930" y="0"/>
                                </a:moveTo>
                                <a:lnTo>
                                  <a:pt x="749808" y="0"/>
                                </a:lnTo>
                                <a:lnTo>
                                  <a:pt x="749808" y="189738"/>
                                </a:lnTo>
                                <a:lnTo>
                                  <a:pt x="742950" y="195072"/>
                                </a:lnTo>
                                <a:lnTo>
                                  <a:pt x="731520" y="205740"/>
                                </a:lnTo>
                                <a:lnTo>
                                  <a:pt x="810006" y="205740"/>
                                </a:lnTo>
                                <a:lnTo>
                                  <a:pt x="832866" y="201168"/>
                                </a:lnTo>
                                <a:lnTo>
                                  <a:pt x="923544" y="201168"/>
                                </a:lnTo>
                                <a:lnTo>
                                  <a:pt x="922782" y="197358"/>
                                </a:lnTo>
                                <a:lnTo>
                                  <a:pt x="917447" y="185928"/>
                                </a:lnTo>
                                <a:lnTo>
                                  <a:pt x="915162" y="184404"/>
                                </a:lnTo>
                                <a:lnTo>
                                  <a:pt x="757428" y="184404"/>
                                </a:lnTo>
                                <a:lnTo>
                                  <a:pt x="757428" y="7620"/>
                                </a:lnTo>
                                <a:lnTo>
                                  <a:pt x="963930" y="7620"/>
                                </a:lnTo>
                                <a:lnTo>
                                  <a:pt x="963930" y="0"/>
                                </a:lnTo>
                                <a:close/>
                              </a:path>
                              <a:path w="963930" h="379095">
                                <a:moveTo>
                                  <a:pt x="845819" y="161544"/>
                                </a:moveTo>
                                <a:lnTo>
                                  <a:pt x="826769" y="163068"/>
                                </a:lnTo>
                                <a:lnTo>
                                  <a:pt x="803910" y="166116"/>
                                </a:lnTo>
                                <a:lnTo>
                                  <a:pt x="781050" y="172974"/>
                                </a:lnTo>
                                <a:lnTo>
                                  <a:pt x="757428" y="184404"/>
                                </a:lnTo>
                                <a:lnTo>
                                  <a:pt x="915162" y="184404"/>
                                </a:lnTo>
                                <a:lnTo>
                                  <a:pt x="905256" y="174498"/>
                                </a:lnTo>
                                <a:lnTo>
                                  <a:pt x="889254" y="166878"/>
                                </a:lnTo>
                                <a:lnTo>
                                  <a:pt x="868680" y="163068"/>
                                </a:lnTo>
                                <a:lnTo>
                                  <a:pt x="845819" y="161544"/>
                                </a:lnTo>
                                <a:close/>
                              </a:path>
                              <a:path w="963930" h="379095">
                                <a:moveTo>
                                  <a:pt x="500634" y="0"/>
                                </a:moveTo>
                                <a:lnTo>
                                  <a:pt x="286511" y="0"/>
                                </a:lnTo>
                                <a:lnTo>
                                  <a:pt x="286511" y="172212"/>
                                </a:lnTo>
                                <a:lnTo>
                                  <a:pt x="294131" y="172212"/>
                                </a:lnTo>
                                <a:lnTo>
                                  <a:pt x="294131" y="7620"/>
                                </a:lnTo>
                                <a:lnTo>
                                  <a:pt x="500634" y="7620"/>
                                </a:lnTo>
                                <a:lnTo>
                                  <a:pt x="500634" y="0"/>
                                </a:lnTo>
                                <a:close/>
                              </a:path>
                              <a:path w="963930" h="379095">
                                <a:moveTo>
                                  <a:pt x="500634" y="7620"/>
                                </a:moveTo>
                                <a:lnTo>
                                  <a:pt x="493013" y="7620"/>
                                </a:lnTo>
                                <a:lnTo>
                                  <a:pt x="493013" y="172212"/>
                                </a:lnTo>
                                <a:lnTo>
                                  <a:pt x="500634" y="172212"/>
                                </a:lnTo>
                                <a:lnTo>
                                  <a:pt x="500634" y="7620"/>
                                </a:lnTo>
                                <a:close/>
                              </a:path>
                            </a:pathLst>
                          </a:custGeom>
                          <a:solidFill>
                            <a:srgbClr val="00458A"/>
                          </a:solidFill>
                        </wps:spPr>
                        <wps:bodyPr wrap="square" lIns="0" tIns="0" rIns="0" bIns="0" rtlCol="0">
                          <a:prstTxWarp prst="textNoShape">
                            <a:avLst/>
                          </a:prstTxWarp>
                          <a:noAutofit/>
                        </wps:bodyPr>
                      </wps:wsp>
                    </wpg:wgp>
                  </a:graphicData>
                </a:graphic>
              </wp:inline>
            </w:drawing>
          </mc:Choice>
          <mc:Fallback>
            <w:pict>
              <v:group style="width:75.9pt;height:29.85pt;mso-position-horizontal-relative:char;mso-position-vertical-relative:line" id="docshapegroup8" coordorigin="0,0" coordsize="1518,597">
                <v:shape style="position:absolute;left:0;top:0;width:1518;height:597" id="docshape9" coordorigin="0,0" coordsize="1518,597" path="m1192,467l1092,467,1093,496,1119,555,1168,586,1231,597,1297,595,1357,587,1397,578,1408,535,1270,535,1237,532,1213,520,1198,497,1192,467xm424,0l88,0,88,310,0,590,77,590,114,467,1518,467,1518,455,214,455,202,431,229,403,134,403,174,271,100,271,100,12,424,12,424,0xm218,467l125,467,187,590,278,590,218,467xm438,467l356,467,318,590,401,590,438,467xm724,467l641,467,605,590,686,590,724,467xm912,467l761,467,762,590,832,590,912,467xm1045,467l964,467,937,590,1019,590,1045,467xm1424,467l1338,467,1321,530,1308,533,1295,533,1282,535,1408,535,1424,467xm424,12l412,12,412,287,408,304,361,450,360,455,562,455,590,442,612,421,618,413,456,413,467,378,472,361,480,323,640,323,636,308,626,294,607,281,582,274,556,271,424,271,424,12xm1152,0l816,0,816,271,697,271,644,455,726,455,760,341,828,341,828,12,1152,12,1152,0xm828,341l760,341,761,455,828,455,828,341xm1087,271l954,271,836,455,919,455,990,346,1072,346,1087,271xm1072,346l990,346,966,455,1049,455,1072,346xm1152,12l1140,12,1140,341,1127,362,1116,382,1107,403,1100,424,1096,446,1093,455,1193,455,1193,445,1202,410,1217,377,1239,348,1268,326,1276,324,1152,324,1152,12xm1440,404l1283,404,1270,455,1427,455,1440,404xm1518,12l1506,12,1506,455,1518,455,1518,12xm640,323l528,323,542,324,553,328,559,332,564,338,564,349,558,366,551,384,540,398,522,407,498,410,496,413,618,413,629,397,634,378,639,361,641,346,641,338,640,326,640,323xm360,271l258,271,134,403,229,403,360,271xm1454,317l1312,317,1330,318,1345,325,1356,340,1358,361,1452,361,1456,347,1457,329,1454,317xm1518,0l1181,0,1181,299,1170,307,1152,324,1276,324,1312,317,1454,317,1453,311,1445,293,1441,290,1193,290,1193,12,1518,12,1518,0xm1332,254l1302,257,1266,262,1230,272,1193,290,1441,290,1426,275,1400,263,1368,257,1332,254xm788,0l451,0,451,271,463,271,463,12,788,12,788,0xm788,12l776,12,776,271,788,271,788,12xe" filled="true" fillcolor="#00458a" stroked="false">
                  <v:path arrowok="t"/>
                  <v:fill type="solid"/>
                </v:shape>
              </v:group>
            </w:pict>
          </mc:Fallback>
        </mc:AlternateContent>
      </w:r>
      <w:r>
        <w:rPr>
          <w:sz w:val="20"/>
        </w:rPr>
      </w:r>
    </w:p>
    <w:p>
      <w:pPr>
        <w:spacing w:before="161"/>
        <w:ind w:left="838" w:right="0" w:firstLine="0"/>
        <w:jc w:val="left"/>
        <w:rPr>
          <w:rFonts w:ascii="Arial MT"/>
          <w:sz w:val="20"/>
        </w:rPr>
      </w:pPr>
      <w:r>
        <w:rPr>
          <w:rFonts w:ascii="Arial MT"/>
          <w:sz w:val="20"/>
        </w:rPr>
        <w:t>KPMG</w:t>
      </w:r>
      <w:r>
        <w:rPr>
          <w:rFonts w:ascii="Arial MT"/>
          <w:spacing w:val="-7"/>
          <w:sz w:val="20"/>
        </w:rPr>
        <w:t> </w:t>
      </w:r>
      <w:r>
        <w:rPr>
          <w:rFonts w:ascii="Arial MT"/>
          <w:sz w:val="20"/>
        </w:rPr>
        <w:t>Auditores</w:t>
      </w:r>
      <w:r>
        <w:rPr>
          <w:rFonts w:ascii="Arial MT"/>
          <w:spacing w:val="-5"/>
          <w:sz w:val="20"/>
        </w:rPr>
        <w:t> </w:t>
      </w:r>
      <w:r>
        <w:rPr>
          <w:rFonts w:ascii="Arial MT"/>
          <w:sz w:val="20"/>
        </w:rPr>
        <w:t>Independentes</w:t>
      </w:r>
      <w:r>
        <w:rPr>
          <w:rFonts w:ascii="Arial MT"/>
          <w:spacing w:val="-13"/>
          <w:sz w:val="20"/>
        </w:rPr>
        <w:t> </w:t>
      </w:r>
      <w:r>
        <w:rPr>
          <w:rFonts w:ascii="Arial MT"/>
          <w:spacing w:val="-4"/>
          <w:sz w:val="20"/>
        </w:rPr>
        <w:t>Ltda.</w:t>
      </w:r>
    </w:p>
    <w:p>
      <w:pPr>
        <w:spacing w:line="312" w:lineRule="auto" w:before="73"/>
        <w:ind w:left="838" w:right="5271" w:firstLine="0"/>
        <w:jc w:val="left"/>
        <w:rPr>
          <w:rFonts w:ascii="Arial MT" w:hAnsi="Arial MT"/>
          <w:sz w:val="20"/>
        </w:rPr>
      </w:pPr>
      <w:r>
        <w:rPr>
          <w:rFonts w:ascii="Arial MT" w:hAnsi="Arial MT"/>
          <w:sz w:val="20"/>
        </w:rPr>
        <w:t>Rua</w:t>
      </w:r>
      <w:r>
        <w:rPr>
          <w:rFonts w:ascii="Arial MT" w:hAnsi="Arial MT"/>
          <w:spacing w:val="-5"/>
          <w:sz w:val="20"/>
        </w:rPr>
        <w:t> </w:t>
      </w:r>
      <w:r>
        <w:rPr>
          <w:rFonts w:ascii="Arial MT" w:hAnsi="Arial MT"/>
          <w:sz w:val="20"/>
        </w:rPr>
        <w:t>do</w:t>
      </w:r>
      <w:r>
        <w:rPr>
          <w:rFonts w:ascii="Arial MT" w:hAnsi="Arial MT"/>
          <w:spacing w:val="-3"/>
          <w:sz w:val="20"/>
        </w:rPr>
        <w:t> </w:t>
      </w:r>
      <w:r>
        <w:rPr>
          <w:rFonts w:ascii="Arial MT" w:hAnsi="Arial MT"/>
          <w:sz w:val="20"/>
        </w:rPr>
        <w:t>Passeio,</w:t>
      </w:r>
      <w:r>
        <w:rPr>
          <w:rFonts w:ascii="Arial MT" w:hAnsi="Arial MT"/>
          <w:spacing w:val="-3"/>
          <w:sz w:val="20"/>
        </w:rPr>
        <w:t> </w:t>
      </w:r>
      <w:r>
        <w:rPr>
          <w:rFonts w:ascii="Arial MT" w:hAnsi="Arial MT"/>
          <w:sz w:val="20"/>
        </w:rPr>
        <w:t>38</w:t>
      </w:r>
      <w:r>
        <w:rPr>
          <w:rFonts w:ascii="Arial MT" w:hAnsi="Arial MT"/>
          <w:spacing w:val="-3"/>
          <w:sz w:val="20"/>
        </w:rPr>
        <w:t> </w:t>
      </w:r>
      <w:r>
        <w:rPr>
          <w:rFonts w:ascii="Arial MT" w:hAnsi="Arial MT"/>
          <w:sz w:val="20"/>
        </w:rPr>
        <w:t>-</w:t>
      </w:r>
      <w:r>
        <w:rPr>
          <w:rFonts w:ascii="Arial MT" w:hAnsi="Arial MT"/>
          <w:spacing w:val="-3"/>
          <w:sz w:val="20"/>
        </w:rPr>
        <w:t> </w:t>
      </w:r>
      <w:r>
        <w:rPr>
          <w:rFonts w:ascii="Arial MT" w:hAnsi="Arial MT"/>
          <w:sz w:val="20"/>
        </w:rPr>
        <w:t>Setor</w:t>
      </w:r>
      <w:r>
        <w:rPr>
          <w:rFonts w:ascii="Arial MT" w:hAnsi="Arial MT"/>
          <w:spacing w:val="-3"/>
          <w:sz w:val="20"/>
        </w:rPr>
        <w:t> </w:t>
      </w:r>
      <w:r>
        <w:rPr>
          <w:rFonts w:ascii="Arial MT" w:hAnsi="Arial MT"/>
          <w:sz w:val="20"/>
        </w:rPr>
        <w:t>2</w:t>
      </w:r>
      <w:r>
        <w:rPr>
          <w:rFonts w:ascii="Arial MT" w:hAnsi="Arial MT"/>
          <w:spacing w:val="-3"/>
          <w:sz w:val="20"/>
        </w:rPr>
        <w:t> </w:t>
      </w:r>
      <w:r>
        <w:rPr>
          <w:rFonts w:ascii="Arial MT" w:hAnsi="Arial MT"/>
          <w:sz w:val="20"/>
        </w:rPr>
        <w:t>-</w:t>
      </w:r>
      <w:r>
        <w:rPr>
          <w:rFonts w:ascii="Arial MT" w:hAnsi="Arial MT"/>
          <w:spacing w:val="-3"/>
          <w:sz w:val="20"/>
        </w:rPr>
        <w:t> </w:t>
      </w:r>
      <w:r>
        <w:rPr>
          <w:rFonts w:ascii="Arial MT" w:hAnsi="Arial MT"/>
          <w:sz w:val="20"/>
        </w:rPr>
        <w:t>17º</w:t>
      </w:r>
      <w:r>
        <w:rPr>
          <w:rFonts w:ascii="Arial MT" w:hAnsi="Arial MT"/>
          <w:spacing w:val="-3"/>
          <w:sz w:val="20"/>
        </w:rPr>
        <w:t> </w:t>
      </w:r>
      <w:r>
        <w:rPr>
          <w:rFonts w:ascii="Arial MT" w:hAnsi="Arial MT"/>
          <w:sz w:val="20"/>
        </w:rPr>
        <w:t>andar</w:t>
      </w:r>
      <w:r>
        <w:rPr>
          <w:rFonts w:ascii="Arial MT" w:hAnsi="Arial MT"/>
          <w:spacing w:val="-3"/>
          <w:sz w:val="20"/>
        </w:rPr>
        <w:t> </w:t>
      </w:r>
      <w:r>
        <w:rPr>
          <w:rFonts w:ascii="Arial MT" w:hAnsi="Arial MT"/>
          <w:sz w:val="20"/>
        </w:rPr>
        <w:t>-</w:t>
      </w:r>
      <w:r>
        <w:rPr>
          <w:rFonts w:ascii="Arial MT" w:hAnsi="Arial MT"/>
          <w:spacing w:val="-15"/>
          <w:sz w:val="20"/>
        </w:rPr>
        <w:t> </w:t>
      </w:r>
      <w:r>
        <w:rPr>
          <w:rFonts w:ascii="Arial MT" w:hAnsi="Arial MT"/>
          <w:sz w:val="20"/>
        </w:rPr>
        <w:t>Centro 20021-290 - Rio de Janeiro/RJ - Brasil</w:t>
      </w:r>
    </w:p>
    <w:p>
      <w:pPr>
        <w:spacing w:line="312" w:lineRule="auto" w:before="2"/>
        <w:ind w:left="838" w:right="3260" w:firstLine="0"/>
        <w:jc w:val="left"/>
        <w:rPr>
          <w:rFonts w:ascii="Arial MT"/>
          <w:sz w:val="20"/>
        </w:rPr>
      </w:pPr>
      <w:r>
        <w:rPr>
          <w:rFonts w:ascii="Arial MT"/>
          <w:sz w:val="20"/>
        </w:rPr>
        <w:t>Caixa</w:t>
      </w:r>
      <w:r>
        <w:rPr>
          <w:rFonts w:ascii="Arial MT"/>
          <w:spacing w:val="-3"/>
          <w:sz w:val="20"/>
        </w:rPr>
        <w:t> </w:t>
      </w:r>
      <w:r>
        <w:rPr>
          <w:rFonts w:ascii="Arial MT"/>
          <w:sz w:val="20"/>
        </w:rPr>
        <w:t>Postal</w:t>
      </w:r>
      <w:r>
        <w:rPr>
          <w:rFonts w:ascii="Arial MT"/>
          <w:spacing w:val="-4"/>
          <w:sz w:val="20"/>
        </w:rPr>
        <w:t> </w:t>
      </w:r>
      <w:r>
        <w:rPr>
          <w:rFonts w:ascii="Arial MT"/>
          <w:sz w:val="20"/>
        </w:rPr>
        <w:t>2888</w:t>
      </w:r>
      <w:r>
        <w:rPr>
          <w:rFonts w:ascii="Arial MT"/>
          <w:spacing w:val="-3"/>
          <w:sz w:val="20"/>
        </w:rPr>
        <w:t> </w:t>
      </w:r>
      <w:r>
        <w:rPr>
          <w:rFonts w:ascii="Arial MT"/>
          <w:sz w:val="20"/>
        </w:rPr>
        <w:t>-</w:t>
      </w:r>
      <w:r>
        <w:rPr>
          <w:rFonts w:ascii="Arial MT"/>
          <w:spacing w:val="-4"/>
          <w:sz w:val="20"/>
        </w:rPr>
        <w:t> </w:t>
      </w:r>
      <w:r>
        <w:rPr>
          <w:rFonts w:ascii="Arial MT"/>
          <w:sz w:val="20"/>
        </w:rPr>
        <w:t>CEP</w:t>
      </w:r>
      <w:r>
        <w:rPr>
          <w:rFonts w:ascii="Arial MT"/>
          <w:spacing w:val="-3"/>
          <w:sz w:val="20"/>
        </w:rPr>
        <w:t> </w:t>
      </w:r>
      <w:r>
        <w:rPr>
          <w:rFonts w:ascii="Arial MT"/>
          <w:sz w:val="20"/>
        </w:rPr>
        <w:t>20001-970</w:t>
      </w:r>
      <w:r>
        <w:rPr>
          <w:rFonts w:ascii="Arial MT"/>
          <w:spacing w:val="-3"/>
          <w:sz w:val="20"/>
        </w:rPr>
        <w:t> </w:t>
      </w:r>
      <w:r>
        <w:rPr>
          <w:rFonts w:ascii="Arial MT"/>
          <w:sz w:val="20"/>
        </w:rPr>
        <w:t>-</w:t>
      </w:r>
      <w:r>
        <w:rPr>
          <w:rFonts w:ascii="Arial MT"/>
          <w:spacing w:val="-3"/>
          <w:sz w:val="20"/>
        </w:rPr>
        <w:t> </w:t>
      </w:r>
      <w:r>
        <w:rPr>
          <w:rFonts w:ascii="Arial MT"/>
          <w:sz w:val="20"/>
        </w:rPr>
        <w:t>Rio</w:t>
      </w:r>
      <w:r>
        <w:rPr>
          <w:rFonts w:ascii="Arial MT"/>
          <w:spacing w:val="-3"/>
          <w:sz w:val="20"/>
        </w:rPr>
        <w:t> </w:t>
      </w:r>
      <w:r>
        <w:rPr>
          <w:rFonts w:ascii="Arial MT"/>
          <w:sz w:val="20"/>
        </w:rPr>
        <w:t>de</w:t>
      </w:r>
      <w:r>
        <w:rPr>
          <w:rFonts w:ascii="Arial MT"/>
          <w:spacing w:val="-3"/>
          <w:sz w:val="20"/>
        </w:rPr>
        <w:t> </w:t>
      </w:r>
      <w:r>
        <w:rPr>
          <w:rFonts w:ascii="Arial MT"/>
          <w:sz w:val="20"/>
        </w:rPr>
        <w:t>Janeiro/RJ</w:t>
      </w:r>
      <w:r>
        <w:rPr>
          <w:rFonts w:ascii="Arial MT"/>
          <w:spacing w:val="-4"/>
          <w:sz w:val="20"/>
        </w:rPr>
        <w:t> </w:t>
      </w:r>
      <w:r>
        <w:rPr>
          <w:rFonts w:ascii="Arial MT"/>
          <w:sz w:val="20"/>
        </w:rPr>
        <w:t>-</w:t>
      </w:r>
      <w:r>
        <w:rPr>
          <w:rFonts w:ascii="Arial MT"/>
          <w:spacing w:val="-3"/>
          <w:sz w:val="20"/>
        </w:rPr>
        <w:t> </w:t>
      </w:r>
      <w:r>
        <w:rPr>
          <w:rFonts w:ascii="Arial MT"/>
          <w:sz w:val="20"/>
        </w:rPr>
        <w:t>Brasil Telefone +55 (21) 2207-9400</w:t>
      </w:r>
    </w:p>
    <w:p>
      <w:pPr>
        <w:spacing w:before="0"/>
        <w:ind w:left="838" w:right="0" w:firstLine="0"/>
        <w:jc w:val="left"/>
        <w:rPr>
          <w:rFonts w:ascii="Arial MT"/>
          <w:sz w:val="20"/>
        </w:rPr>
      </w:pPr>
      <w:r>
        <w:rPr>
          <w:rFonts w:ascii="Arial MT"/>
          <w:spacing w:val="-2"/>
          <w:sz w:val="20"/>
        </w:rPr>
        <w:t>kpmg.com.br</w:t>
      </w:r>
    </w:p>
    <w:p>
      <w:pPr>
        <w:pStyle w:val="Heading1"/>
        <w:spacing w:line="249" w:lineRule="auto"/>
      </w:pPr>
      <w:bookmarkStart w:name="_TOC_250023" w:id="2"/>
      <w:r>
        <w:rPr>
          <w:color w:val="004D97"/>
          <w:w w:val="55"/>
        </w:rPr>
        <w:t>Relatório dos auditores independentes sobre</w:t>
      </w:r>
      <w:r>
        <w:rPr>
          <w:color w:val="004D97"/>
          <w:spacing w:val="-10"/>
        </w:rPr>
        <w:t> </w:t>
      </w:r>
      <w:r>
        <w:rPr>
          <w:color w:val="004D97"/>
          <w:w w:val="55"/>
        </w:rPr>
        <w:t>as</w:t>
      </w:r>
      <w:r>
        <w:rPr>
          <w:color w:val="004D97"/>
          <w:spacing w:val="-9"/>
        </w:rPr>
        <w:t> </w:t>
      </w:r>
      <w:r>
        <w:rPr>
          <w:color w:val="004D97"/>
          <w:w w:val="55"/>
        </w:rPr>
        <w:t>demonstrações</w:t>
      </w:r>
      <w:r>
        <w:rPr>
          <w:color w:val="004D97"/>
          <w:spacing w:val="-9"/>
        </w:rPr>
        <w:t> </w:t>
      </w:r>
      <w:bookmarkEnd w:id="2"/>
      <w:r>
        <w:rPr>
          <w:color w:val="004D97"/>
          <w:spacing w:val="-2"/>
          <w:w w:val="55"/>
        </w:rPr>
        <w:t>financeiras</w:t>
      </w:r>
    </w:p>
    <w:p>
      <w:pPr>
        <w:spacing w:line="338" w:lineRule="auto" w:before="596"/>
        <w:ind w:left="838" w:right="5933" w:firstLine="0"/>
        <w:jc w:val="left"/>
        <w:rPr>
          <w:sz w:val="24"/>
        </w:rPr>
      </w:pPr>
      <w:r>
        <w:rPr>
          <w:b/>
          <w:color w:val="004D97"/>
          <w:sz w:val="24"/>
        </w:rPr>
        <w:t>Aos</w:t>
      </w:r>
      <w:r>
        <w:rPr>
          <w:b/>
          <w:color w:val="004D97"/>
          <w:spacing w:val="-8"/>
          <w:sz w:val="24"/>
        </w:rPr>
        <w:t> </w:t>
      </w:r>
      <w:r>
        <w:rPr>
          <w:b/>
          <w:color w:val="004D97"/>
          <w:sz w:val="24"/>
        </w:rPr>
        <w:t>Administradores</w:t>
      </w:r>
      <w:r>
        <w:rPr>
          <w:b/>
          <w:color w:val="004D97"/>
          <w:spacing w:val="-8"/>
          <w:sz w:val="24"/>
        </w:rPr>
        <w:t> </w:t>
      </w:r>
      <w:r>
        <w:rPr>
          <w:b/>
          <w:color w:val="004D97"/>
          <w:sz w:val="24"/>
        </w:rPr>
        <w:t>e</w:t>
      </w:r>
      <w:r>
        <w:rPr>
          <w:b/>
          <w:color w:val="004D97"/>
          <w:spacing w:val="-9"/>
          <w:sz w:val="24"/>
        </w:rPr>
        <w:t> </w:t>
      </w:r>
      <w:r>
        <w:rPr>
          <w:b/>
          <w:color w:val="004D97"/>
          <w:sz w:val="24"/>
        </w:rPr>
        <w:t>Acionistas</w:t>
      </w:r>
      <w:r>
        <w:rPr>
          <w:b/>
          <w:color w:val="004D97"/>
          <w:spacing w:val="-8"/>
          <w:sz w:val="24"/>
        </w:rPr>
        <w:t> </w:t>
      </w:r>
      <w:r>
        <w:rPr>
          <w:b/>
          <w:color w:val="004D97"/>
          <w:sz w:val="24"/>
        </w:rPr>
        <w:t>da Araucária Nitrogenados S.A. </w:t>
      </w:r>
      <w:r>
        <w:rPr>
          <w:color w:val="004D97"/>
          <w:sz w:val="24"/>
        </w:rPr>
        <w:t>Araucária ‐ PR</w:t>
      </w:r>
    </w:p>
    <w:p>
      <w:pPr>
        <w:pStyle w:val="BodyText"/>
        <w:spacing w:before="8"/>
        <w:rPr>
          <w:sz w:val="16"/>
        </w:rPr>
      </w:pPr>
      <w:r>
        <w:rPr/>
        <mc:AlternateContent>
          <mc:Choice Requires="wps">
            <w:drawing>
              <wp:anchor distT="0" distB="0" distL="0" distR="0" allowOverlap="1" layoutInCell="1" locked="0" behindDoc="1" simplePos="0" relativeHeight="487589888">
                <wp:simplePos x="0" y="0"/>
                <wp:positionH relativeFrom="page">
                  <wp:posOffset>918972</wp:posOffset>
                </wp:positionH>
                <wp:positionV relativeFrom="paragraph">
                  <wp:posOffset>144782</wp:posOffset>
                </wp:positionV>
                <wp:extent cx="5732780" cy="295275"/>
                <wp:effectExtent l="0" t="0" r="0" b="0"/>
                <wp:wrapTopAndBottom/>
                <wp:docPr id="12" name="Textbox 12"/>
                <wp:cNvGraphicFramePr>
                  <a:graphicFrameLocks/>
                </wp:cNvGraphicFramePr>
                <a:graphic>
                  <a:graphicData uri="http://schemas.microsoft.com/office/word/2010/wordprocessingShape">
                    <wps:wsp>
                      <wps:cNvPr id="12" name="Textbox 12"/>
                      <wps:cNvSpPr txBox="1"/>
                      <wps:spPr>
                        <a:xfrm>
                          <a:off x="0" y="0"/>
                          <a:ext cx="5732780" cy="295275"/>
                        </a:xfrm>
                        <a:prstGeom prst="rect">
                          <a:avLst/>
                        </a:prstGeom>
                        <a:solidFill>
                          <a:srgbClr val="004D97"/>
                        </a:solidFill>
                      </wps:spPr>
                      <wps:txbx>
                        <w:txbxContent>
                          <w:p>
                            <w:pPr>
                              <w:spacing w:before="120"/>
                              <w:ind w:left="111" w:right="0" w:firstLine="0"/>
                              <w:jc w:val="left"/>
                              <w:rPr>
                                <w:b/>
                                <w:color w:val="000000"/>
                                <w:sz w:val="19"/>
                              </w:rPr>
                            </w:pPr>
                            <w:r>
                              <w:rPr>
                                <w:b/>
                                <w:color w:val="FFFFFF"/>
                                <w:spacing w:val="-2"/>
                                <w:sz w:val="19"/>
                              </w:rPr>
                              <w:t>Opinião</w:t>
                            </w:r>
                          </w:p>
                        </w:txbxContent>
                      </wps:txbx>
                      <wps:bodyPr wrap="square" lIns="0" tIns="0" rIns="0" bIns="0" rtlCol="0">
                        <a:noAutofit/>
                      </wps:bodyPr>
                    </wps:wsp>
                  </a:graphicData>
                </a:graphic>
              </wp:anchor>
            </w:drawing>
          </mc:Choice>
          <mc:Fallback>
            <w:pict>
              <v:shape style="position:absolute;margin-left:72.360001pt;margin-top:11.400234pt;width:451.4pt;height:23.25pt;mso-position-horizontal-relative:page;mso-position-vertical-relative:paragraph;z-index:-15726592;mso-wrap-distance-left:0;mso-wrap-distance-right:0" type="#_x0000_t202" id="docshape10" filled="true" fillcolor="#004d97" stroked="false">
                <v:textbox inset="0,0,0,0">
                  <w:txbxContent>
                    <w:p>
                      <w:pPr>
                        <w:spacing w:before="120"/>
                        <w:ind w:left="111" w:right="0" w:firstLine="0"/>
                        <w:jc w:val="left"/>
                        <w:rPr>
                          <w:b/>
                          <w:color w:val="000000"/>
                          <w:sz w:val="19"/>
                        </w:rPr>
                      </w:pPr>
                      <w:r>
                        <w:rPr>
                          <w:b/>
                          <w:color w:val="FFFFFF"/>
                          <w:spacing w:val="-2"/>
                          <w:sz w:val="19"/>
                        </w:rPr>
                        <w:t>Opinião</w:t>
                      </w:r>
                    </w:p>
                  </w:txbxContent>
                </v:textbox>
                <v:fill type="solid"/>
                <w10:wrap type="topAndBottom"/>
              </v:shape>
            </w:pict>
          </mc:Fallback>
        </mc:AlternateContent>
      </w:r>
    </w:p>
    <w:p>
      <w:pPr>
        <w:spacing w:line="247" w:lineRule="auto" w:before="121"/>
        <w:ind w:left="838" w:right="838" w:firstLine="0"/>
        <w:jc w:val="both"/>
        <w:rPr>
          <w:sz w:val="19"/>
        </w:rPr>
      </w:pPr>
      <w:r>
        <w:rPr>
          <w:sz w:val="19"/>
        </w:rPr>
        <w:t>Examinamos as demonstrações financeiras da Araucária Nitrogenados S.A. (“Companhia”), que compreendem o balanço patrimonial em 31 de dezembro de 2022 e as respectivas demonstrações do resultado, do resultado abrangente,</w:t>
      </w:r>
      <w:r>
        <w:rPr>
          <w:spacing w:val="-7"/>
          <w:sz w:val="19"/>
        </w:rPr>
        <w:t> </w:t>
      </w:r>
      <w:r>
        <w:rPr>
          <w:sz w:val="19"/>
        </w:rPr>
        <w:t>das</w:t>
      </w:r>
      <w:r>
        <w:rPr>
          <w:spacing w:val="-7"/>
          <w:sz w:val="19"/>
        </w:rPr>
        <w:t> </w:t>
      </w:r>
      <w:r>
        <w:rPr>
          <w:sz w:val="19"/>
        </w:rPr>
        <w:t>mutações</w:t>
      </w:r>
      <w:r>
        <w:rPr>
          <w:spacing w:val="-6"/>
          <w:sz w:val="19"/>
        </w:rPr>
        <w:t> </w:t>
      </w:r>
      <w:r>
        <w:rPr>
          <w:sz w:val="19"/>
        </w:rPr>
        <w:t>do</w:t>
      </w:r>
      <w:r>
        <w:rPr>
          <w:spacing w:val="-5"/>
          <w:sz w:val="19"/>
        </w:rPr>
        <w:t> </w:t>
      </w:r>
      <w:r>
        <w:rPr>
          <w:sz w:val="19"/>
        </w:rPr>
        <w:t>patrimônio</w:t>
      </w:r>
      <w:r>
        <w:rPr>
          <w:spacing w:val="-5"/>
          <w:sz w:val="19"/>
        </w:rPr>
        <w:t> </w:t>
      </w:r>
      <w:r>
        <w:rPr>
          <w:sz w:val="19"/>
        </w:rPr>
        <w:t>líquido</w:t>
      </w:r>
      <w:r>
        <w:rPr>
          <w:spacing w:val="-6"/>
          <w:sz w:val="19"/>
        </w:rPr>
        <w:t> </w:t>
      </w:r>
      <w:r>
        <w:rPr>
          <w:sz w:val="19"/>
        </w:rPr>
        <w:t>e</w:t>
      </w:r>
      <w:r>
        <w:rPr>
          <w:spacing w:val="-7"/>
          <w:sz w:val="19"/>
        </w:rPr>
        <w:t> </w:t>
      </w:r>
      <w:r>
        <w:rPr>
          <w:sz w:val="19"/>
        </w:rPr>
        <w:t>dos</w:t>
      </w:r>
      <w:r>
        <w:rPr>
          <w:spacing w:val="-7"/>
          <w:sz w:val="19"/>
        </w:rPr>
        <w:t> </w:t>
      </w:r>
      <w:r>
        <w:rPr>
          <w:sz w:val="19"/>
        </w:rPr>
        <w:t>fluxos</w:t>
      </w:r>
      <w:r>
        <w:rPr>
          <w:spacing w:val="-5"/>
          <w:sz w:val="19"/>
        </w:rPr>
        <w:t> </w:t>
      </w:r>
      <w:r>
        <w:rPr>
          <w:sz w:val="19"/>
        </w:rPr>
        <w:t>de</w:t>
      </w:r>
      <w:r>
        <w:rPr>
          <w:spacing w:val="-8"/>
          <w:sz w:val="19"/>
        </w:rPr>
        <w:t> </w:t>
      </w:r>
      <w:r>
        <w:rPr>
          <w:sz w:val="19"/>
        </w:rPr>
        <w:t>caixa</w:t>
      </w:r>
      <w:r>
        <w:rPr>
          <w:spacing w:val="-3"/>
          <w:sz w:val="19"/>
        </w:rPr>
        <w:t> </w:t>
      </w:r>
      <w:r>
        <w:rPr>
          <w:sz w:val="19"/>
        </w:rPr>
        <w:t>para</w:t>
      </w:r>
      <w:r>
        <w:rPr>
          <w:spacing w:val="-7"/>
          <w:sz w:val="19"/>
        </w:rPr>
        <w:t> </w:t>
      </w:r>
      <w:r>
        <w:rPr>
          <w:sz w:val="19"/>
        </w:rPr>
        <w:t>o</w:t>
      </w:r>
      <w:r>
        <w:rPr>
          <w:spacing w:val="-5"/>
          <w:sz w:val="19"/>
        </w:rPr>
        <w:t> </w:t>
      </w:r>
      <w:r>
        <w:rPr>
          <w:sz w:val="19"/>
        </w:rPr>
        <w:t>exercício</w:t>
      </w:r>
      <w:r>
        <w:rPr>
          <w:spacing w:val="-6"/>
          <w:sz w:val="19"/>
        </w:rPr>
        <w:t> </w:t>
      </w:r>
      <w:r>
        <w:rPr>
          <w:sz w:val="19"/>
        </w:rPr>
        <w:t>findo</w:t>
      </w:r>
      <w:r>
        <w:rPr>
          <w:spacing w:val="-5"/>
          <w:sz w:val="19"/>
        </w:rPr>
        <w:t> </w:t>
      </w:r>
      <w:r>
        <w:rPr>
          <w:sz w:val="19"/>
        </w:rPr>
        <w:t>nessa</w:t>
      </w:r>
      <w:r>
        <w:rPr>
          <w:spacing w:val="-5"/>
          <w:sz w:val="19"/>
        </w:rPr>
        <w:t> </w:t>
      </w:r>
      <w:r>
        <w:rPr>
          <w:sz w:val="19"/>
        </w:rPr>
        <w:t>data,</w:t>
      </w:r>
      <w:r>
        <w:rPr>
          <w:spacing w:val="-6"/>
          <w:sz w:val="19"/>
        </w:rPr>
        <w:t> </w:t>
      </w:r>
      <w:r>
        <w:rPr>
          <w:sz w:val="19"/>
        </w:rPr>
        <w:t>bem</w:t>
      </w:r>
      <w:r>
        <w:rPr>
          <w:spacing w:val="-7"/>
          <w:sz w:val="19"/>
        </w:rPr>
        <w:t> </w:t>
      </w:r>
      <w:r>
        <w:rPr>
          <w:sz w:val="19"/>
        </w:rPr>
        <w:t>como as correspondentes notas explicativas, compreendendo as políticas contábeis significativas e outras informações </w:t>
      </w:r>
      <w:r>
        <w:rPr>
          <w:spacing w:val="-2"/>
          <w:sz w:val="19"/>
        </w:rPr>
        <w:t>elucidativas.</w:t>
      </w:r>
    </w:p>
    <w:p>
      <w:pPr>
        <w:spacing w:line="247" w:lineRule="auto" w:before="126"/>
        <w:ind w:left="838" w:right="837" w:firstLine="0"/>
        <w:jc w:val="both"/>
        <w:rPr>
          <w:sz w:val="19"/>
        </w:rPr>
      </w:pPr>
      <w:r>
        <w:rPr>
          <w:sz w:val="19"/>
        </w:rPr>
        <w:t>Em nossa opinião, as demonstrações financeiras acima referidas apresentam adequadamente, em todos os aspectos relevantes, a posição patrimonial e financeira da Araucária Nitrogenados S.A. em 31 de dezembro de 2022,</w:t>
      </w:r>
      <w:r>
        <w:rPr>
          <w:spacing w:val="-2"/>
          <w:sz w:val="19"/>
        </w:rPr>
        <w:t> </w:t>
      </w:r>
      <w:r>
        <w:rPr>
          <w:sz w:val="19"/>
        </w:rPr>
        <w:t>o</w:t>
      </w:r>
      <w:r>
        <w:rPr>
          <w:spacing w:val="-3"/>
          <w:sz w:val="19"/>
        </w:rPr>
        <w:t> </w:t>
      </w:r>
      <w:r>
        <w:rPr>
          <w:sz w:val="19"/>
        </w:rPr>
        <w:t>desempenho</w:t>
      </w:r>
      <w:r>
        <w:rPr>
          <w:spacing w:val="-3"/>
          <w:sz w:val="19"/>
        </w:rPr>
        <w:t> </w:t>
      </w:r>
      <w:r>
        <w:rPr>
          <w:sz w:val="19"/>
        </w:rPr>
        <w:t>de</w:t>
      </w:r>
      <w:r>
        <w:rPr>
          <w:spacing w:val="-2"/>
          <w:sz w:val="19"/>
        </w:rPr>
        <w:t> </w:t>
      </w:r>
      <w:r>
        <w:rPr>
          <w:sz w:val="19"/>
        </w:rPr>
        <w:t>suas</w:t>
      </w:r>
      <w:r>
        <w:rPr>
          <w:spacing w:val="-2"/>
          <w:sz w:val="19"/>
        </w:rPr>
        <w:t> </w:t>
      </w:r>
      <w:r>
        <w:rPr>
          <w:sz w:val="19"/>
        </w:rPr>
        <w:t>operações</w:t>
      </w:r>
      <w:r>
        <w:rPr>
          <w:spacing w:val="-2"/>
          <w:sz w:val="19"/>
        </w:rPr>
        <w:t> </w:t>
      </w:r>
      <w:r>
        <w:rPr>
          <w:sz w:val="19"/>
        </w:rPr>
        <w:t>e</w:t>
      </w:r>
      <w:r>
        <w:rPr>
          <w:spacing w:val="-3"/>
          <w:sz w:val="19"/>
        </w:rPr>
        <w:t> </w:t>
      </w:r>
      <w:r>
        <w:rPr>
          <w:sz w:val="19"/>
        </w:rPr>
        <w:t>os</w:t>
      </w:r>
      <w:r>
        <w:rPr>
          <w:spacing w:val="-1"/>
          <w:sz w:val="19"/>
        </w:rPr>
        <w:t> </w:t>
      </w:r>
      <w:r>
        <w:rPr>
          <w:sz w:val="19"/>
        </w:rPr>
        <w:t>seus</w:t>
      </w:r>
      <w:r>
        <w:rPr>
          <w:spacing w:val="-3"/>
          <w:sz w:val="19"/>
        </w:rPr>
        <w:t> </w:t>
      </w:r>
      <w:r>
        <w:rPr>
          <w:sz w:val="19"/>
        </w:rPr>
        <w:t>fluxos</w:t>
      </w:r>
      <w:r>
        <w:rPr>
          <w:spacing w:val="-2"/>
          <w:sz w:val="19"/>
        </w:rPr>
        <w:t> </w:t>
      </w:r>
      <w:r>
        <w:rPr>
          <w:sz w:val="19"/>
        </w:rPr>
        <w:t>de</w:t>
      </w:r>
      <w:r>
        <w:rPr>
          <w:spacing w:val="-5"/>
          <w:sz w:val="19"/>
        </w:rPr>
        <w:t> </w:t>
      </w:r>
      <w:r>
        <w:rPr>
          <w:sz w:val="19"/>
        </w:rPr>
        <w:t>caixa</w:t>
      </w:r>
      <w:r>
        <w:rPr>
          <w:spacing w:val="-2"/>
          <w:sz w:val="19"/>
        </w:rPr>
        <w:t> </w:t>
      </w:r>
      <w:r>
        <w:rPr>
          <w:sz w:val="19"/>
        </w:rPr>
        <w:t>para</w:t>
      </w:r>
      <w:r>
        <w:rPr>
          <w:spacing w:val="-4"/>
          <w:sz w:val="19"/>
        </w:rPr>
        <w:t> </w:t>
      </w:r>
      <w:r>
        <w:rPr>
          <w:sz w:val="19"/>
        </w:rPr>
        <w:t>o</w:t>
      </w:r>
      <w:r>
        <w:rPr>
          <w:spacing w:val="-3"/>
          <w:sz w:val="19"/>
        </w:rPr>
        <w:t> </w:t>
      </w:r>
      <w:r>
        <w:rPr>
          <w:sz w:val="19"/>
        </w:rPr>
        <w:t>exercício</w:t>
      </w:r>
      <w:r>
        <w:rPr>
          <w:spacing w:val="-1"/>
          <w:sz w:val="19"/>
        </w:rPr>
        <w:t> </w:t>
      </w:r>
      <w:r>
        <w:rPr>
          <w:sz w:val="19"/>
        </w:rPr>
        <w:t>findo</w:t>
      </w:r>
      <w:r>
        <w:rPr>
          <w:spacing w:val="-4"/>
          <w:sz w:val="19"/>
        </w:rPr>
        <w:t> </w:t>
      </w:r>
      <w:r>
        <w:rPr>
          <w:sz w:val="19"/>
        </w:rPr>
        <w:t>nessa</w:t>
      </w:r>
      <w:r>
        <w:rPr>
          <w:spacing w:val="-3"/>
          <w:sz w:val="19"/>
        </w:rPr>
        <w:t> </w:t>
      </w:r>
      <w:r>
        <w:rPr>
          <w:sz w:val="19"/>
        </w:rPr>
        <w:t>data,</w:t>
      </w:r>
      <w:r>
        <w:rPr>
          <w:spacing w:val="-4"/>
          <w:sz w:val="19"/>
        </w:rPr>
        <w:t> </w:t>
      </w:r>
      <w:r>
        <w:rPr>
          <w:sz w:val="19"/>
        </w:rPr>
        <w:t>de</w:t>
      </w:r>
      <w:r>
        <w:rPr>
          <w:spacing w:val="-2"/>
          <w:sz w:val="19"/>
        </w:rPr>
        <w:t> </w:t>
      </w:r>
      <w:r>
        <w:rPr>
          <w:sz w:val="19"/>
        </w:rPr>
        <w:t>acordo</w:t>
      </w:r>
      <w:r>
        <w:rPr>
          <w:spacing w:val="-2"/>
          <w:sz w:val="19"/>
        </w:rPr>
        <w:t> </w:t>
      </w:r>
      <w:r>
        <w:rPr>
          <w:sz w:val="19"/>
        </w:rPr>
        <w:t>com as práticas contábeis adotadas no Brasil.</w:t>
      </w:r>
    </w:p>
    <w:p>
      <w:pPr>
        <w:pStyle w:val="BodyText"/>
        <w:spacing w:before="18"/>
        <w:rPr>
          <w:sz w:val="20"/>
        </w:rPr>
      </w:pPr>
      <w:r>
        <w:rPr/>
        <mc:AlternateContent>
          <mc:Choice Requires="wps">
            <w:drawing>
              <wp:anchor distT="0" distB="0" distL="0" distR="0" allowOverlap="1" layoutInCell="1" locked="0" behindDoc="1" simplePos="0" relativeHeight="487590400">
                <wp:simplePos x="0" y="0"/>
                <wp:positionH relativeFrom="page">
                  <wp:posOffset>918972</wp:posOffset>
                </wp:positionH>
                <wp:positionV relativeFrom="paragraph">
                  <wp:posOffset>181721</wp:posOffset>
                </wp:positionV>
                <wp:extent cx="5732780" cy="295910"/>
                <wp:effectExtent l="0" t="0" r="0" b="0"/>
                <wp:wrapTopAndBottom/>
                <wp:docPr id="13" name="Textbox 13"/>
                <wp:cNvGraphicFramePr>
                  <a:graphicFrameLocks/>
                </wp:cNvGraphicFramePr>
                <a:graphic>
                  <a:graphicData uri="http://schemas.microsoft.com/office/word/2010/wordprocessingShape">
                    <wps:wsp>
                      <wps:cNvPr id="13" name="Textbox 13"/>
                      <wps:cNvSpPr txBox="1"/>
                      <wps:spPr>
                        <a:xfrm>
                          <a:off x="0" y="0"/>
                          <a:ext cx="5732780" cy="295910"/>
                        </a:xfrm>
                        <a:prstGeom prst="rect">
                          <a:avLst/>
                        </a:prstGeom>
                        <a:solidFill>
                          <a:srgbClr val="004D97"/>
                        </a:solidFill>
                      </wps:spPr>
                      <wps:txbx>
                        <w:txbxContent>
                          <w:p>
                            <w:pPr>
                              <w:spacing w:before="120"/>
                              <w:ind w:left="111" w:right="0" w:firstLine="0"/>
                              <w:jc w:val="left"/>
                              <w:rPr>
                                <w:b/>
                                <w:color w:val="000000"/>
                                <w:sz w:val="19"/>
                              </w:rPr>
                            </w:pPr>
                            <w:r>
                              <w:rPr>
                                <w:b/>
                                <w:color w:val="FFFFFF"/>
                                <w:sz w:val="19"/>
                              </w:rPr>
                              <w:t>Base</w:t>
                            </w:r>
                            <w:r>
                              <w:rPr>
                                <w:b/>
                                <w:color w:val="FFFFFF"/>
                                <w:spacing w:val="-3"/>
                                <w:sz w:val="19"/>
                              </w:rPr>
                              <w:t> </w:t>
                            </w:r>
                            <w:r>
                              <w:rPr>
                                <w:b/>
                                <w:color w:val="FFFFFF"/>
                                <w:sz w:val="19"/>
                              </w:rPr>
                              <w:t>para</w:t>
                            </w:r>
                            <w:r>
                              <w:rPr>
                                <w:b/>
                                <w:color w:val="FFFFFF"/>
                                <w:spacing w:val="-4"/>
                                <w:sz w:val="19"/>
                              </w:rPr>
                              <w:t> </w:t>
                            </w:r>
                            <w:r>
                              <w:rPr>
                                <w:b/>
                                <w:color w:val="FFFFFF"/>
                                <w:spacing w:val="-2"/>
                                <w:sz w:val="19"/>
                              </w:rPr>
                              <w:t>opinião</w:t>
                            </w:r>
                          </w:p>
                        </w:txbxContent>
                      </wps:txbx>
                      <wps:bodyPr wrap="square" lIns="0" tIns="0" rIns="0" bIns="0" rtlCol="0">
                        <a:noAutofit/>
                      </wps:bodyPr>
                    </wps:wsp>
                  </a:graphicData>
                </a:graphic>
              </wp:anchor>
            </w:drawing>
          </mc:Choice>
          <mc:Fallback>
            <w:pict>
              <v:shape style="position:absolute;margin-left:72.360001pt;margin-top:14.30878pt;width:451.4pt;height:23.3pt;mso-position-horizontal-relative:page;mso-position-vertical-relative:paragraph;z-index:-15726080;mso-wrap-distance-left:0;mso-wrap-distance-right:0" type="#_x0000_t202" id="docshape11" filled="true" fillcolor="#004d97" stroked="false">
                <v:textbox inset="0,0,0,0">
                  <w:txbxContent>
                    <w:p>
                      <w:pPr>
                        <w:spacing w:before="120"/>
                        <w:ind w:left="111" w:right="0" w:firstLine="0"/>
                        <w:jc w:val="left"/>
                        <w:rPr>
                          <w:b/>
                          <w:color w:val="000000"/>
                          <w:sz w:val="19"/>
                        </w:rPr>
                      </w:pPr>
                      <w:r>
                        <w:rPr>
                          <w:b/>
                          <w:color w:val="FFFFFF"/>
                          <w:sz w:val="19"/>
                        </w:rPr>
                        <w:t>Base</w:t>
                      </w:r>
                      <w:r>
                        <w:rPr>
                          <w:b/>
                          <w:color w:val="FFFFFF"/>
                          <w:spacing w:val="-3"/>
                          <w:sz w:val="19"/>
                        </w:rPr>
                        <w:t> </w:t>
                      </w:r>
                      <w:r>
                        <w:rPr>
                          <w:b/>
                          <w:color w:val="FFFFFF"/>
                          <w:sz w:val="19"/>
                        </w:rPr>
                        <w:t>para</w:t>
                      </w:r>
                      <w:r>
                        <w:rPr>
                          <w:b/>
                          <w:color w:val="FFFFFF"/>
                          <w:spacing w:val="-4"/>
                          <w:sz w:val="19"/>
                        </w:rPr>
                        <w:t> </w:t>
                      </w:r>
                      <w:r>
                        <w:rPr>
                          <w:b/>
                          <w:color w:val="FFFFFF"/>
                          <w:spacing w:val="-2"/>
                          <w:sz w:val="19"/>
                        </w:rPr>
                        <w:t>opinião</w:t>
                      </w:r>
                    </w:p>
                  </w:txbxContent>
                </v:textbox>
                <v:fill type="solid"/>
                <w10:wrap type="topAndBottom"/>
              </v:shape>
            </w:pict>
          </mc:Fallback>
        </mc:AlternateContent>
      </w:r>
    </w:p>
    <w:p>
      <w:pPr>
        <w:pStyle w:val="BodyText"/>
        <w:spacing w:before="10"/>
        <w:rPr>
          <w:sz w:val="19"/>
        </w:rPr>
      </w:pPr>
    </w:p>
    <w:p>
      <w:pPr>
        <w:spacing w:before="0"/>
        <w:ind w:left="838" w:right="836" w:firstLine="0"/>
        <w:jc w:val="both"/>
        <w:rPr>
          <w:sz w:val="19"/>
        </w:rPr>
      </w:pPr>
      <w:r>
        <w:rPr>
          <w:sz w:val="19"/>
        </w:rPr>
        <w:t>Nossa auditoria foi conduzida de acordo com as normas brasileiras e internacionais de auditoria. Nossas responsabilidades, em conformidade com tais normas, estão descritas na seção a seguir intitulada “Responsabilidades dos auditores pela auditoria das demonstrações financeiras”. Somos independentes em relação à Companhia, de acordo com os princípios éticos relevantes previstos no Código de Ética Profissional do Contador</w:t>
      </w:r>
      <w:r>
        <w:rPr>
          <w:spacing w:val="-8"/>
          <w:sz w:val="19"/>
        </w:rPr>
        <w:t> </w:t>
      </w:r>
      <w:r>
        <w:rPr>
          <w:sz w:val="19"/>
        </w:rPr>
        <w:t>e</w:t>
      </w:r>
      <w:r>
        <w:rPr>
          <w:spacing w:val="-8"/>
          <w:sz w:val="19"/>
        </w:rPr>
        <w:t> </w:t>
      </w:r>
      <w:r>
        <w:rPr>
          <w:sz w:val="19"/>
        </w:rPr>
        <w:t>nas</w:t>
      </w:r>
      <w:r>
        <w:rPr>
          <w:spacing w:val="-9"/>
          <w:sz w:val="19"/>
        </w:rPr>
        <w:t> </w:t>
      </w:r>
      <w:r>
        <w:rPr>
          <w:sz w:val="19"/>
        </w:rPr>
        <w:t>normas</w:t>
      </w:r>
      <w:r>
        <w:rPr>
          <w:spacing w:val="-8"/>
          <w:sz w:val="19"/>
        </w:rPr>
        <w:t> </w:t>
      </w:r>
      <w:r>
        <w:rPr>
          <w:sz w:val="19"/>
        </w:rPr>
        <w:t>profissionais</w:t>
      </w:r>
      <w:r>
        <w:rPr>
          <w:spacing w:val="-8"/>
          <w:sz w:val="19"/>
        </w:rPr>
        <w:t> </w:t>
      </w:r>
      <w:r>
        <w:rPr>
          <w:sz w:val="19"/>
        </w:rPr>
        <w:t>emitidas</w:t>
      </w:r>
      <w:r>
        <w:rPr>
          <w:spacing w:val="-8"/>
          <w:sz w:val="19"/>
        </w:rPr>
        <w:t> </w:t>
      </w:r>
      <w:r>
        <w:rPr>
          <w:sz w:val="19"/>
        </w:rPr>
        <w:t>pelo</w:t>
      </w:r>
      <w:r>
        <w:rPr>
          <w:spacing w:val="-8"/>
          <w:sz w:val="19"/>
        </w:rPr>
        <w:t> </w:t>
      </w:r>
      <w:r>
        <w:rPr>
          <w:sz w:val="19"/>
        </w:rPr>
        <w:t>Conselho</w:t>
      </w:r>
      <w:r>
        <w:rPr>
          <w:spacing w:val="-8"/>
          <w:sz w:val="19"/>
        </w:rPr>
        <w:t> </w:t>
      </w:r>
      <w:r>
        <w:rPr>
          <w:sz w:val="19"/>
        </w:rPr>
        <w:t>Federal</w:t>
      </w:r>
      <w:r>
        <w:rPr>
          <w:spacing w:val="-9"/>
          <w:sz w:val="19"/>
        </w:rPr>
        <w:t> </w:t>
      </w:r>
      <w:r>
        <w:rPr>
          <w:sz w:val="19"/>
        </w:rPr>
        <w:t>de</w:t>
      </w:r>
      <w:r>
        <w:rPr>
          <w:spacing w:val="-8"/>
          <w:sz w:val="19"/>
        </w:rPr>
        <w:t> </w:t>
      </w:r>
      <w:r>
        <w:rPr>
          <w:sz w:val="19"/>
        </w:rPr>
        <w:t>Contabilidade,</w:t>
      </w:r>
      <w:r>
        <w:rPr>
          <w:spacing w:val="-10"/>
          <w:sz w:val="19"/>
        </w:rPr>
        <w:t> </w:t>
      </w:r>
      <w:r>
        <w:rPr>
          <w:sz w:val="19"/>
        </w:rPr>
        <w:t>e</w:t>
      </w:r>
      <w:r>
        <w:rPr>
          <w:spacing w:val="-8"/>
          <w:sz w:val="19"/>
        </w:rPr>
        <w:t> </w:t>
      </w:r>
      <w:r>
        <w:rPr>
          <w:sz w:val="19"/>
        </w:rPr>
        <w:t>cumprimos</w:t>
      </w:r>
      <w:r>
        <w:rPr>
          <w:spacing w:val="-8"/>
          <w:sz w:val="19"/>
        </w:rPr>
        <w:t> </w:t>
      </w:r>
      <w:r>
        <w:rPr>
          <w:sz w:val="19"/>
        </w:rPr>
        <w:t>com</w:t>
      </w:r>
      <w:r>
        <w:rPr>
          <w:spacing w:val="-9"/>
          <w:sz w:val="19"/>
        </w:rPr>
        <w:t> </w:t>
      </w:r>
      <w:r>
        <w:rPr>
          <w:sz w:val="19"/>
        </w:rPr>
        <w:t>as</w:t>
      </w:r>
      <w:r>
        <w:rPr>
          <w:spacing w:val="-8"/>
          <w:sz w:val="19"/>
        </w:rPr>
        <w:t> </w:t>
      </w:r>
      <w:r>
        <w:rPr>
          <w:sz w:val="19"/>
        </w:rPr>
        <w:t>demais responsabilidades</w:t>
      </w:r>
      <w:r>
        <w:rPr>
          <w:spacing w:val="-11"/>
          <w:sz w:val="19"/>
        </w:rPr>
        <w:t> </w:t>
      </w:r>
      <w:r>
        <w:rPr>
          <w:sz w:val="19"/>
        </w:rPr>
        <w:t>éticas</w:t>
      </w:r>
      <w:r>
        <w:rPr>
          <w:spacing w:val="-10"/>
          <w:sz w:val="19"/>
        </w:rPr>
        <w:t> </w:t>
      </w:r>
      <w:r>
        <w:rPr>
          <w:sz w:val="19"/>
        </w:rPr>
        <w:t>de</w:t>
      </w:r>
      <w:r>
        <w:rPr>
          <w:spacing w:val="-11"/>
          <w:sz w:val="19"/>
        </w:rPr>
        <w:t> </w:t>
      </w:r>
      <w:r>
        <w:rPr>
          <w:sz w:val="19"/>
        </w:rPr>
        <w:t>acordo</w:t>
      </w:r>
      <w:r>
        <w:rPr>
          <w:spacing w:val="-9"/>
          <w:sz w:val="19"/>
        </w:rPr>
        <w:t> </w:t>
      </w:r>
      <w:r>
        <w:rPr>
          <w:sz w:val="19"/>
        </w:rPr>
        <w:t>com</w:t>
      </w:r>
      <w:r>
        <w:rPr>
          <w:spacing w:val="-11"/>
          <w:sz w:val="19"/>
        </w:rPr>
        <w:t> </w:t>
      </w:r>
      <w:r>
        <w:rPr>
          <w:sz w:val="19"/>
        </w:rPr>
        <w:t>essas</w:t>
      </w:r>
      <w:r>
        <w:rPr>
          <w:spacing w:val="-11"/>
          <w:sz w:val="19"/>
        </w:rPr>
        <w:t> </w:t>
      </w:r>
      <w:r>
        <w:rPr>
          <w:sz w:val="19"/>
        </w:rPr>
        <w:t>normas.</w:t>
      </w:r>
      <w:r>
        <w:rPr>
          <w:spacing w:val="-8"/>
          <w:sz w:val="19"/>
        </w:rPr>
        <w:t> </w:t>
      </w:r>
      <w:r>
        <w:rPr>
          <w:sz w:val="19"/>
        </w:rPr>
        <w:t>Acreditamos</w:t>
      </w:r>
      <w:r>
        <w:rPr>
          <w:spacing w:val="-10"/>
          <w:sz w:val="19"/>
        </w:rPr>
        <w:t> </w:t>
      </w:r>
      <w:r>
        <w:rPr>
          <w:sz w:val="19"/>
        </w:rPr>
        <w:t>que</w:t>
      </w:r>
      <w:r>
        <w:rPr>
          <w:spacing w:val="-10"/>
          <w:sz w:val="19"/>
        </w:rPr>
        <w:t> </w:t>
      </w:r>
      <w:r>
        <w:rPr>
          <w:sz w:val="19"/>
        </w:rPr>
        <w:t>a</w:t>
      </w:r>
      <w:r>
        <w:rPr>
          <w:spacing w:val="-11"/>
          <w:sz w:val="19"/>
        </w:rPr>
        <w:t> </w:t>
      </w:r>
      <w:r>
        <w:rPr>
          <w:sz w:val="19"/>
        </w:rPr>
        <w:t>evidência</w:t>
      </w:r>
      <w:r>
        <w:rPr>
          <w:spacing w:val="-9"/>
          <w:sz w:val="19"/>
        </w:rPr>
        <w:t> </w:t>
      </w:r>
      <w:r>
        <w:rPr>
          <w:sz w:val="19"/>
        </w:rPr>
        <w:t>de</w:t>
      </w:r>
      <w:r>
        <w:rPr>
          <w:spacing w:val="-10"/>
          <w:sz w:val="19"/>
        </w:rPr>
        <w:t> </w:t>
      </w:r>
      <w:r>
        <w:rPr>
          <w:sz w:val="19"/>
        </w:rPr>
        <w:t>auditoria</w:t>
      </w:r>
      <w:r>
        <w:rPr>
          <w:spacing w:val="-10"/>
          <w:sz w:val="19"/>
        </w:rPr>
        <w:t> </w:t>
      </w:r>
      <w:r>
        <w:rPr>
          <w:sz w:val="19"/>
        </w:rPr>
        <w:t>obtida</w:t>
      </w:r>
      <w:r>
        <w:rPr>
          <w:spacing w:val="-9"/>
          <w:sz w:val="19"/>
        </w:rPr>
        <w:t> </w:t>
      </w:r>
      <w:r>
        <w:rPr>
          <w:sz w:val="19"/>
        </w:rPr>
        <w:t>é</w:t>
      </w:r>
      <w:r>
        <w:rPr>
          <w:spacing w:val="-10"/>
          <w:sz w:val="19"/>
        </w:rPr>
        <w:t> </w:t>
      </w:r>
      <w:r>
        <w:rPr>
          <w:sz w:val="19"/>
        </w:rPr>
        <w:t>suficiente e apropriada para fundamentar nossa opinião.</w:t>
      </w:r>
    </w:p>
    <w:p>
      <w:pPr>
        <w:pStyle w:val="BodyText"/>
        <w:spacing w:before="33"/>
        <w:rPr>
          <w:sz w:val="20"/>
        </w:rPr>
      </w:pPr>
      <w:r>
        <w:rPr/>
        <mc:AlternateContent>
          <mc:Choice Requires="wps">
            <w:drawing>
              <wp:anchor distT="0" distB="0" distL="0" distR="0" allowOverlap="1" layoutInCell="1" locked="0" behindDoc="1" simplePos="0" relativeHeight="487590912">
                <wp:simplePos x="0" y="0"/>
                <wp:positionH relativeFrom="page">
                  <wp:posOffset>918972</wp:posOffset>
                </wp:positionH>
                <wp:positionV relativeFrom="paragraph">
                  <wp:posOffset>191599</wp:posOffset>
                </wp:positionV>
                <wp:extent cx="5732780" cy="331470"/>
                <wp:effectExtent l="0" t="0" r="0" b="0"/>
                <wp:wrapTopAndBottom/>
                <wp:docPr id="14" name="Textbox 14"/>
                <wp:cNvGraphicFramePr>
                  <a:graphicFrameLocks/>
                </wp:cNvGraphicFramePr>
                <a:graphic>
                  <a:graphicData uri="http://schemas.microsoft.com/office/word/2010/wordprocessingShape">
                    <wps:wsp>
                      <wps:cNvPr id="14" name="Textbox 14"/>
                      <wps:cNvSpPr txBox="1"/>
                      <wps:spPr>
                        <a:xfrm>
                          <a:off x="0" y="0"/>
                          <a:ext cx="5732780" cy="331470"/>
                        </a:xfrm>
                        <a:prstGeom prst="rect">
                          <a:avLst/>
                        </a:prstGeom>
                        <a:solidFill>
                          <a:srgbClr val="2D5295"/>
                        </a:solidFill>
                      </wps:spPr>
                      <wps:txbx>
                        <w:txbxContent>
                          <w:p>
                            <w:pPr>
                              <w:spacing w:before="120"/>
                              <w:ind w:left="111" w:right="0" w:firstLine="0"/>
                              <w:jc w:val="left"/>
                              <w:rPr>
                                <w:b/>
                                <w:color w:val="000000"/>
                                <w:sz w:val="19"/>
                              </w:rPr>
                            </w:pPr>
                            <w:r>
                              <w:rPr>
                                <w:b/>
                                <w:color w:val="FFFFFF"/>
                                <w:sz w:val="19"/>
                              </w:rPr>
                              <w:t>Ênfase</w:t>
                            </w:r>
                            <w:r>
                              <w:rPr>
                                <w:b/>
                                <w:color w:val="FFFFFF"/>
                                <w:spacing w:val="-5"/>
                                <w:sz w:val="19"/>
                              </w:rPr>
                              <w:t> </w:t>
                            </w:r>
                            <w:r>
                              <w:rPr>
                                <w:b/>
                                <w:color w:val="FFFFFF"/>
                                <w:sz w:val="19"/>
                              </w:rPr>
                              <w:t>–</w:t>
                            </w:r>
                            <w:r>
                              <w:rPr>
                                <w:b/>
                                <w:color w:val="FFFFFF"/>
                                <w:spacing w:val="-6"/>
                                <w:sz w:val="19"/>
                              </w:rPr>
                              <w:t> </w:t>
                            </w:r>
                            <w:r>
                              <w:rPr>
                                <w:b/>
                                <w:color w:val="FFFFFF"/>
                                <w:sz w:val="19"/>
                              </w:rPr>
                              <w:t>Hibernação</w:t>
                            </w:r>
                            <w:r>
                              <w:rPr>
                                <w:b/>
                                <w:color w:val="FFFFFF"/>
                                <w:spacing w:val="-6"/>
                                <w:sz w:val="19"/>
                              </w:rPr>
                              <w:t> </w:t>
                            </w:r>
                            <w:r>
                              <w:rPr>
                                <w:b/>
                                <w:color w:val="FFFFFF"/>
                                <w:sz w:val="19"/>
                              </w:rPr>
                              <w:t>da</w:t>
                            </w:r>
                            <w:r>
                              <w:rPr>
                                <w:b/>
                                <w:color w:val="FFFFFF"/>
                                <w:spacing w:val="-6"/>
                                <w:sz w:val="19"/>
                              </w:rPr>
                              <w:t> </w:t>
                            </w:r>
                            <w:r>
                              <w:rPr>
                                <w:b/>
                                <w:color w:val="FFFFFF"/>
                                <w:sz w:val="19"/>
                              </w:rPr>
                              <w:t>planta</w:t>
                            </w:r>
                            <w:r>
                              <w:rPr>
                                <w:b/>
                                <w:color w:val="FFFFFF"/>
                                <w:spacing w:val="-7"/>
                                <w:sz w:val="19"/>
                              </w:rPr>
                              <w:t> </w:t>
                            </w:r>
                            <w:r>
                              <w:rPr>
                                <w:b/>
                                <w:color w:val="FFFFFF"/>
                                <w:spacing w:val="-2"/>
                                <w:sz w:val="19"/>
                              </w:rPr>
                              <w:t>industrial</w:t>
                            </w:r>
                          </w:p>
                        </w:txbxContent>
                      </wps:txbx>
                      <wps:bodyPr wrap="square" lIns="0" tIns="0" rIns="0" bIns="0" rtlCol="0">
                        <a:noAutofit/>
                      </wps:bodyPr>
                    </wps:wsp>
                  </a:graphicData>
                </a:graphic>
              </wp:anchor>
            </w:drawing>
          </mc:Choice>
          <mc:Fallback>
            <w:pict>
              <v:shape style="position:absolute;margin-left:72.360001pt;margin-top:15.086562pt;width:451.4pt;height:26.1pt;mso-position-horizontal-relative:page;mso-position-vertical-relative:paragraph;z-index:-15725568;mso-wrap-distance-left:0;mso-wrap-distance-right:0" type="#_x0000_t202" id="docshape12" filled="true" fillcolor="#2d5295" stroked="false">
                <v:textbox inset="0,0,0,0">
                  <w:txbxContent>
                    <w:p>
                      <w:pPr>
                        <w:spacing w:before="120"/>
                        <w:ind w:left="111" w:right="0" w:firstLine="0"/>
                        <w:jc w:val="left"/>
                        <w:rPr>
                          <w:b/>
                          <w:color w:val="000000"/>
                          <w:sz w:val="19"/>
                        </w:rPr>
                      </w:pPr>
                      <w:r>
                        <w:rPr>
                          <w:b/>
                          <w:color w:val="FFFFFF"/>
                          <w:sz w:val="19"/>
                        </w:rPr>
                        <w:t>Ênfase</w:t>
                      </w:r>
                      <w:r>
                        <w:rPr>
                          <w:b/>
                          <w:color w:val="FFFFFF"/>
                          <w:spacing w:val="-5"/>
                          <w:sz w:val="19"/>
                        </w:rPr>
                        <w:t> </w:t>
                      </w:r>
                      <w:r>
                        <w:rPr>
                          <w:b/>
                          <w:color w:val="FFFFFF"/>
                          <w:sz w:val="19"/>
                        </w:rPr>
                        <w:t>–</w:t>
                      </w:r>
                      <w:r>
                        <w:rPr>
                          <w:b/>
                          <w:color w:val="FFFFFF"/>
                          <w:spacing w:val="-6"/>
                          <w:sz w:val="19"/>
                        </w:rPr>
                        <w:t> </w:t>
                      </w:r>
                      <w:r>
                        <w:rPr>
                          <w:b/>
                          <w:color w:val="FFFFFF"/>
                          <w:sz w:val="19"/>
                        </w:rPr>
                        <w:t>Hibernação</w:t>
                      </w:r>
                      <w:r>
                        <w:rPr>
                          <w:b/>
                          <w:color w:val="FFFFFF"/>
                          <w:spacing w:val="-6"/>
                          <w:sz w:val="19"/>
                        </w:rPr>
                        <w:t> </w:t>
                      </w:r>
                      <w:r>
                        <w:rPr>
                          <w:b/>
                          <w:color w:val="FFFFFF"/>
                          <w:sz w:val="19"/>
                        </w:rPr>
                        <w:t>da</w:t>
                      </w:r>
                      <w:r>
                        <w:rPr>
                          <w:b/>
                          <w:color w:val="FFFFFF"/>
                          <w:spacing w:val="-6"/>
                          <w:sz w:val="19"/>
                        </w:rPr>
                        <w:t> </w:t>
                      </w:r>
                      <w:r>
                        <w:rPr>
                          <w:b/>
                          <w:color w:val="FFFFFF"/>
                          <w:sz w:val="19"/>
                        </w:rPr>
                        <w:t>planta</w:t>
                      </w:r>
                      <w:r>
                        <w:rPr>
                          <w:b/>
                          <w:color w:val="FFFFFF"/>
                          <w:spacing w:val="-7"/>
                          <w:sz w:val="19"/>
                        </w:rPr>
                        <w:t> </w:t>
                      </w:r>
                      <w:r>
                        <w:rPr>
                          <w:b/>
                          <w:color w:val="FFFFFF"/>
                          <w:spacing w:val="-2"/>
                          <w:sz w:val="19"/>
                        </w:rPr>
                        <w:t>industrial</w:t>
                      </w:r>
                    </w:p>
                  </w:txbxContent>
                </v:textbox>
                <v:fill type="solid"/>
                <w10:wrap type="topAndBottom"/>
              </v:shape>
            </w:pict>
          </mc:Fallback>
        </mc:AlternateContent>
      </w:r>
    </w:p>
    <w:p>
      <w:pPr>
        <w:pStyle w:val="BodyText"/>
        <w:spacing w:before="15"/>
        <w:rPr>
          <w:sz w:val="19"/>
        </w:rPr>
      </w:pPr>
    </w:p>
    <w:p>
      <w:pPr>
        <w:spacing w:line="235" w:lineRule="auto" w:before="0"/>
        <w:ind w:left="838" w:right="834" w:hanging="1"/>
        <w:jc w:val="both"/>
        <w:rPr>
          <w:sz w:val="19"/>
        </w:rPr>
      </w:pPr>
      <w:r>
        <w:rPr>
          <w:sz w:val="19"/>
        </w:rPr>
        <w:t>Conforme</w:t>
      </w:r>
      <w:r>
        <w:rPr>
          <w:spacing w:val="-9"/>
          <w:sz w:val="19"/>
        </w:rPr>
        <w:t> </w:t>
      </w:r>
      <w:r>
        <w:rPr>
          <w:sz w:val="19"/>
        </w:rPr>
        <w:t>mencionado</w:t>
      </w:r>
      <w:r>
        <w:rPr>
          <w:spacing w:val="-8"/>
          <w:sz w:val="19"/>
        </w:rPr>
        <w:t> </w:t>
      </w:r>
      <w:r>
        <w:rPr>
          <w:sz w:val="19"/>
        </w:rPr>
        <w:t>na</w:t>
      </w:r>
      <w:r>
        <w:rPr>
          <w:spacing w:val="-8"/>
          <w:sz w:val="19"/>
        </w:rPr>
        <w:t> </w:t>
      </w:r>
      <w:r>
        <w:rPr>
          <w:sz w:val="19"/>
        </w:rPr>
        <w:t>nota</w:t>
      </w:r>
      <w:r>
        <w:rPr>
          <w:spacing w:val="-9"/>
          <w:sz w:val="19"/>
        </w:rPr>
        <w:t> </w:t>
      </w:r>
      <w:r>
        <w:rPr>
          <w:sz w:val="19"/>
        </w:rPr>
        <w:t>explicativa</w:t>
      </w:r>
      <w:r>
        <w:rPr>
          <w:spacing w:val="-8"/>
          <w:sz w:val="19"/>
        </w:rPr>
        <w:t> </w:t>
      </w:r>
      <w:r>
        <w:rPr>
          <w:sz w:val="19"/>
        </w:rPr>
        <w:t>n°</w:t>
      </w:r>
      <w:r>
        <w:rPr>
          <w:spacing w:val="-8"/>
          <w:sz w:val="19"/>
        </w:rPr>
        <w:t> </w:t>
      </w:r>
      <w:r>
        <w:rPr>
          <w:sz w:val="19"/>
        </w:rPr>
        <w:t>1,</w:t>
      </w:r>
      <w:r>
        <w:rPr>
          <w:spacing w:val="5"/>
          <w:sz w:val="19"/>
        </w:rPr>
        <w:t> </w:t>
      </w:r>
      <w:r>
        <w:rPr>
          <w:sz w:val="19"/>
        </w:rPr>
        <w:t>chamamos</w:t>
      </w:r>
      <w:r>
        <w:rPr>
          <w:spacing w:val="-7"/>
          <w:sz w:val="19"/>
        </w:rPr>
        <w:t> </w:t>
      </w:r>
      <w:r>
        <w:rPr>
          <w:sz w:val="19"/>
        </w:rPr>
        <w:t>a</w:t>
      </w:r>
      <w:r>
        <w:rPr>
          <w:spacing w:val="-5"/>
          <w:sz w:val="19"/>
        </w:rPr>
        <w:t> </w:t>
      </w:r>
      <w:r>
        <w:rPr>
          <w:sz w:val="19"/>
        </w:rPr>
        <w:t>atenção</w:t>
      </w:r>
      <w:r>
        <w:rPr>
          <w:spacing w:val="-7"/>
          <w:sz w:val="19"/>
        </w:rPr>
        <w:t> </w:t>
      </w:r>
      <w:r>
        <w:rPr>
          <w:sz w:val="19"/>
        </w:rPr>
        <w:t>para</w:t>
      </w:r>
      <w:r>
        <w:rPr>
          <w:spacing w:val="-8"/>
          <w:sz w:val="19"/>
        </w:rPr>
        <w:t> </w:t>
      </w:r>
      <w:r>
        <w:rPr>
          <w:sz w:val="19"/>
        </w:rPr>
        <w:t>o</w:t>
      </w:r>
      <w:r>
        <w:rPr>
          <w:spacing w:val="-9"/>
          <w:sz w:val="19"/>
        </w:rPr>
        <w:t> </w:t>
      </w:r>
      <w:r>
        <w:rPr>
          <w:sz w:val="19"/>
        </w:rPr>
        <w:t>fato</w:t>
      </w:r>
      <w:r>
        <w:rPr>
          <w:spacing w:val="-7"/>
          <w:sz w:val="19"/>
        </w:rPr>
        <w:t> </w:t>
      </w:r>
      <w:r>
        <w:rPr>
          <w:sz w:val="19"/>
        </w:rPr>
        <w:t>que</w:t>
      </w:r>
      <w:r>
        <w:rPr>
          <w:spacing w:val="-9"/>
          <w:sz w:val="19"/>
        </w:rPr>
        <w:t> </w:t>
      </w:r>
      <w:r>
        <w:rPr>
          <w:sz w:val="19"/>
        </w:rPr>
        <w:t>a</w:t>
      </w:r>
      <w:r>
        <w:rPr>
          <w:spacing w:val="-8"/>
          <w:sz w:val="19"/>
        </w:rPr>
        <w:t> </w:t>
      </w:r>
      <w:r>
        <w:rPr>
          <w:sz w:val="19"/>
        </w:rPr>
        <w:t>Companhia,</w:t>
      </w:r>
      <w:r>
        <w:rPr>
          <w:spacing w:val="-10"/>
          <w:sz w:val="19"/>
        </w:rPr>
        <w:t> </w:t>
      </w:r>
      <w:r>
        <w:rPr>
          <w:sz w:val="19"/>
        </w:rPr>
        <w:t>a</w:t>
      </w:r>
      <w:r>
        <w:rPr>
          <w:spacing w:val="-5"/>
          <w:sz w:val="19"/>
        </w:rPr>
        <w:t> </w:t>
      </w:r>
      <w:r>
        <w:rPr>
          <w:sz w:val="19"/>
        </w:rPr>
        <w:t>qual</w:t>
      </w:r>
      <w:r>
        <w:rPr>
          <w:spacing w:val="-9"/>
          <w:sz w:val="19"/>
        </w:rPr>
        <w:t> </w:t>
      </w:r>
      <w:r>
        <w:rPr>
          <w:sz w:val="19"/>
        </w:rPr>
        <w:t>faz</w:t>
      </w:r>
      <w:r>
        <w:rPr>
          <w:spacing w:val="-10"/>
          <w:sz w:val="19"/>
        </w:rPr>
        <w:t> </w:t>
      </w:r>
      <w:r>
        <w:rPr>
          <w:sz w:val="19"/>
        </w:rPr>
        <w:t>parte de um grupo econômico, iniciou o processo de hibernação de sua planta industrial em 13 de janeiro de 2020 e segue</w:t>
      </w:r>
      <w:r>
        <w:rPr>
          <w:spacing w:val="-11"/>
          <w:sz w:val="19"/>
        </w:rPr>
        <w:t> </w:t>
      </w:r>
      <w:r>
        <w:rPr>
          <w:sz w:val="19"/>
        </w:rPr>
        <w:t>o</w:t>
      </w:r>
      <w:r>
        <w:rPr>
          <w:spacing w:val="-11"/>
          <w:sz w:val="19"/>
        </w:rPr>
        <w:t> </w:t>
      </w:r>
      <w:r>
        <w:rPr>
          <w:sz w:val="19"/>
        </w:rPr>
        <w:t>plano</w:t>
      </w:r>
      <w:r>
        <w:rPr>
          <w:spacing w:val="-11"/>
          <w:sz w:val="19"/>
        </w:rPr>
        <w:t> </w:t>
      </w:r>
      <w:r>
        <w:rPr>
          <w:sz w:val="19"/>
        </w:rPr>
        <w:t>de</w:t>
      </w:r>
      <w:r>
        <w:rPr>
          <w:spacing w:val="-10"/>
          <w:sz w:val="19"/>
        </w:rPr>
        <w:t> </w:t>
      </w:r>
      <w:r>
        <w:rPr>
          <w:sz w:val="19"/>
        </w:rPr>
        <w:t>negócios</w:t>
      </w:r>
      <w:r>
        <w:rPr>
          <w:spacing w:val="-11"/>
          <w:sz w:val="19"/>
        </w:rPr>
        <w:t> </w:t>
      </w:r>
      <w:r>
        <w:rPr>
          <w:sz w:val="19"/>
        </w:rPr>
        <w:t>de</w:t>
      </w:r>
      <w:r>
        <w:rPr>
          <w:spacing w:val="-11"/>
          <w:sz w:val="19"/>
        </w:rPr>
        <w:t> </w:t>
      </w:r>
      <w:r>
        <w:rPr>
          <w:sz w:val="19"/>
        </w:rPr>
        <w:t>sua</w:t>
      </w:r>
      <w:r>
        <w:rPr>
          <w:spacing w:val="-11"/>
          <w:sz w:val="19"/>
        </w:rPr>
        <w:t> </w:t>
      </w:r>
      <w:r>
        <w:rPr>
          <w:sz w:val="19"/>
        </w:rPr>
        <w:t>controladora</w:t>
      </w:r>
      <w:r>
        <w:rPr>
          <w:spacing w:val="-10"/>
          <w:sz w:val="19"/>
        </w:rPr>
        <w:t> </w:t>
      </w:r>
      <w:r>
        <w:rPr>
          <w:sz w:val="19"/>
        </w:rPr>
        <w:t>Petróleo</w:t>
      </w:r>
      <w:r>
        <w:rPr>
          <w:spacing w:val="-11"/>
          <w:sz w:val="19"/>
        </w:rPr>
        <w:t> </w:t>
      </w:r>
      <w:r>
        <w:rPr>
          <w:sz w:val="19"/>
        </w:rPr>
        <w:t>Brasileiro</w:t>
      </w:r>
      <w:r>
        <w:rPr>
          <w:spacing w:val="-11"/>
          <w:sz w:val="19"/>
        </w:rPr>
        <w:t> </w:t>
      </w:r>
      <w:r>
        <w:rPr>
          <w:sz w:val="19"/>
        </w:rPr>
        <w:t>S.A.</w:t>
      </w:r>
      <w:r>
        <w:rPr>
          <w:spacing w:val="-10"/>
          <w:sz w:val="19"/>
        </w:rPr>
        <w:t> </w:t>
      </w:r>
      <w:r>
        <w:rPr>
          <w:sz w:val="19"/>
        </w:rPr>
        <w:t>–</w:t>
      </w:r>
      <w:r>
        <w:rPr>
          <w:spacing w:val="-10"/>
          <w:sz w:val="19"/>
        </w:rPr>
        <w:t> </w:t>
      </w:r>
      <w:r>
        <w:rPr>
          <w:sz w:val="19"/>
        </w:rPr>
        <w:t>Petrobras,</w:t>
      </w:r>
      <w:r>
        <w:rPr>
          <w:spacing w:val="-11"/>
          <w:sz w:val="19"/>
        </w:rPr>
        <w:t> </w:t>
      </w:r>
      <w:r>
        <w:rPr>
          <w:sz w:val="19"/>
        </w:rPr>
        <w:t>incluindo</w:t>
      </w:r>
      <w:r>
        <w:rPr>
          <w:spacing w:val="-10"/>
          <w:sz w:val="19"/>
        </w:rPr>
        <w:t> </w:t>
      </w:r>
      <w:r>
        <w:rPr>
          <w:sz w:val="19"/>
        </w:rPr>
        <w:t>a</w:t>
      </w:r>
      <w:r>
        <w:rPr>
          <w:spacing w:val="-10"/>
          <w:sz w:val="19"/>
        </w:rPr>
        <w:t> </w:t>
      </w:r>
      <w:r>
        <w:rPr>
          <w:sz w:val="19"/>
        </w:rPr>
        <w:t>obtenção</w:t>
      </w:r>
      <w:r>
        <w:rPr>
          <w:spacing w:val="-11"/>
          <w:sz w:val="19"/>
        </w:rPr>
        <w:t> </w:t>
      </w:r>
      <w:r>
        <w:rPr>
          <w:sz w:val="19"/>
        </w:rPr>
        <w:t>de</w:t>
      </w:r>
      <w:r>
        <w:rPr>
          <w:spacing w:val="-10"/>
          <w:sz w:val="19"/>
        </w:rPr>
        <w:t> </w:t>
      </w:r>
      <w:r>
        <w:rPr>
          <w:sz w:val="19"/>
        </w:rPr>
        <w:t>suporte financeiro, quando necessário. Neste sentido, R$ 670.000 mil foram aportados no exercício de 2020 para serem</w:t>
      </w:r>
    </w:p>
    <w:p>
      <w:pPr>
        <w:spacing w:after="0" w:line="235" w:lineRule="auto"/>
        <w:jc w:val="both"/>
        <w:rPr>
          <w:sz w:val="19"/>
        </w:rPr>
        <w:sectPr>
          <w:footerReference w:type="default" r:id="rId8"/>
          <w:pgSz w:w="11910" w:h="16840"/>
          <w:pgMar w:header="0" w:footer="1372" w:top="1000" w:bottom="1560" w:left="720" w:right="700"/>
        </w:sectPr>
      </w:pPr>
    </w:p>
    <w:p>
      <w:pPr>
        <w:spacing w:line="235" w:lineRule="auto" w:before="53"/>
        <w:ind w:left="838" w:right="745" w:firstLine="0"/>
        <w:jc w:val="left"/>
        <w:rPr>
          <w:sz w:val="19"/>
        </w:rPr>
      </w:pPr>
      <w:r>
        <w:rPr>
          <w:sz w:val="19"/>
        </w:rPr>
        <w:t>utilizados</w:t>
      </w:r>
      <w:r>
        <w:rPr>
          <w:spacing w:val="-2"/>
          <w:sz w:val="19"/>
        </w:rPr>
        <w:t> </w:t>
      </w:r>
      <w:r>
        <w:rPr>
          <w:sz w:val="19"/>
        </w:rPr>
        <w:t>para</w:t>
      </w:r>
      <w:r>
        <w:rPr>
          <w:spacing w:val="-1"/>
          <w:sz w:val="19"/>
        </w:rPr>
        <w:t> </w:t>
      </w:r>
      <w:r>
        <w:rPr>
          <w:sz w:val="19"/>
        </w:rPr>
        <w:t>honrar</w:t>
      </w:r>
      <w:r>
        <w:rPr>
          <w:spacing w:val="-3"/>
          <w:sz w:val="19"/>
        </w:rPr>
        <w:t> </w:t>
      </w:r>
      <w:r>
        <w:rPr>
          <w:sz w:val="19"/>
        </w:rPr>
        <w:t>seus</w:t>
      </w:r>
      <w:r>
        <w:rPr>
          <w:spacing w:val="-2"/>
          <w:sz w:val="19"/>
        </w:rPr>
        <w:t> </w:t>
      </w:r>
      <w:r>
        <w:rPr>
          <w:sz w:val="19"/>
        </w:rPr>
        <w:t>compromissos</w:t>
      </w:r>
      <w:r>
        <w:rPr>
          <w:spacing w:val="-2"/>
          <w:sz w:val="19"/>
        </w:rPr>
        <w:t> </w:t>
      </w:r>
      <w:r>
        <w:rPr>
          <w:sz w:val="19"/>
        </w:rPr>
        <w:t>até</w:t>
      </w:r>
      <w:r>
        <w:rPr>
          <w:spacing w:val="-2"/>
          <w:sz w:val="19"/>
        </w:rPr>
        <w:t> </w:t>
      </w:r>
      <w:r>
        <w:rPr>
          <w:sz w:val="19"/>
        </w:rPr>
        <w:t>que</w:t>
      </w:r>
      <w:r>
        <w:rPr>
          <w:spacing w:val="-2"/>
          <w:sz w:val="19"/>
        </w:rPr>
        <w:t> </w:t>
      </w:r>
      <w:r>
        <w:rPr>
          <w:sz w:val="19"/>
        </w:rPr>
        <w:t>a</w:t>
      </w:r>
      <w:r>
        <w:rPr>
          <w:spacing w:val="-2"/>
          <w:sz w:val="19"/>
        </w:rPr>
        <w:t> </w:t>
      </w:r>
      <w:r>
        <w:rPr>
          <w:sz w:val="19"/>
        </w:rPr>
        <w:t>decisão</w:t>
      </w:r>
      <w:r>
        <w:rPr>
          <w:spacing w:val="-2"/>
          <w:sz w:val="19"/>
        </w:rPr>
        <w:t> </w:t>
      </w:r>
      <w:r>
        <w:rPr>
          <w:sz w:val="19"/>
        </w:rPr>
        <w:t>final</w:t>
      </w:r>
      <w:r>
        <w:rPr>
          <w:spacing w:val="-2"/>
          <w:sz w:val="19"/>
        </w:rPr>
        <w:t> </w:t>
      </w:r>
      <w:r>
        <w:rPr>
          <w:sz w:val="19"/>
        </w:rPr>
        <w:t>sobre</w:t>
      </w:r>
      <w:r>
        <w:rPr>
          <w:spacing w:val="-2"/>
          <w:sz w:val="19"/>
        </w:rPr>
        <w:t> </w:t>
      </w:r>
      <w:r>
        <w:rPr>
          <w:sz w:val="19"/>
        </w:rPr>
        <w:t>a</w:t>
      </w:r>
      <w:r>
        <w:rPr>
          <w:spacing w:val="-2"/>
          <w:sz w:val="19"/>
        </w:rPr>
        <w:t> </w:t>
      </w:r>
      <w:r>
        <w:rPr>
          <w:sz w:val="19"/>
        </w:rPr>
        <w:t>Companhia</w:t>
      </w:r>
      <w:r>
        <w:rPr>
          <w:spacing w:val="-2"/>
          <w:sz w:val="19"/>
        </w:rPr>
        <w:t> </w:t>
      </w:r>
      <w:r>
        <w:rPr>
          <w:sz w:val="19"/>
        </w:rPr>
        <w:t>seja</w:t>
      </w:r>
      <w:r>
        <w:rPr>
          <w:spacing w:val="-2"/>
          <w:sz w:val="19"/>
        </w:rPr>
        <w:t> </w:t>
      </w:r>
      <w:r>
        <w:rPr>
          <w:sz w:val="19"/>
        </w:rPr>
        <w:t>tomada,</w:t>
      </w:r>
      <w:r>
        <w:rPr>
          <w:spacing w:val="-3"/>
          <w:sz w:val="19"/>
        </w:rPr>
        <w:t> </w:t>
      </w:r>
      <w:r>
        <w:rPr>
          <w:sz w:val="19"/>
        </w:rPr>
        <w:t>que</w:t>
      </w:r>
      <w:r>
        <w:rPr>
          <w:spacing w:val="-2"/>
          <w:sz w:val="19"/>
        </w:rPr>
        <w:t> </w:t>
      </w:r>
      <w:r>
        <w:rPr>
          <w:sz w:val="19"/>
        </w:rPr>
        <w:t>pode</w:t>
      </w:r>
      <w:r>
        <w:rPr>
          <w:spacing w:val="-2"/>
          <w:sz w:val="19"/>
        </w:rPr>
        <w:t> </w:t>
      </w:r>
      <w:r>
        <w:rPr>
          <w:sz w:val="19"/>
        </w:rPr>
        <w:t>incluir a</w:t>
      </w:r>
      <w:r>
        <w:rPr>
          <w:spacing w:val="27"/>
          <w:sz w:val="19"/>
        </w:rPr>
        <w:t> </w:t>
      </w:r>
      <w:r>
        <w:rPr>
          <w:sz w:val="19"/>
        </w:rPr>
        <w:t>desativação</w:t>
      </w:r>
      <w:r>
        <w:rPr>
          <w:spacing w:val="29"/>
          <w:sz w:val="19"/>
        </w:rPr>
        <w:t> </w:t>
      </w:r>
      <w:r>
        <w:rPr>
          <w:sz w:val="19"/>
        </w:rPr>
        <w:t>da</w:t>
      </w:r>
      <w:r>
        <w:rPr>
          <w:spacing w:val="27"/>
          <w:sz w:val="19"/>
        </w:rPr>
        <w:t> </w:t>
      </w:r>
      <w:r>
        <w:rPr>
          <w:sz w:val="19"/>
        </w:rPr>
        <w:t>planta</w:t>
      </w:r>
      <w:r>
        <w:rPr>
          <w:spacing w:val="27"/>
          <w:sz w:val="19"/>
        </w:rPr>
        <w:t> </w:t>
      </w:r>
      <w:r>
        <w:rPr>
          <w:sz w:val="19"/>
        </w:rPr>
        <w:t>industrial</w:t>
      </w:r>
      <w:r>
        <w:rPr>
          <w:spacing w:val="27"/>
          <w:sz w:val="19"/>
        </w:rPr>
        <w:t> </w:t>
      </w:r>
      <w:r>
        <w:rPr>
          <w:sz w:val="19"/>
        </w:rPr>
        <w:t>e</w:t>
      </w:r>
      <w:r>
        <w:rPr>
          <w:spacing w:val="27"/>
          <w:sz w:val="19"/>
        </w:rPr>
        <w:t> </w:t>
      </w:r>
      <w:r>
        <w:rPr>
          <w:sz w:val="19"/>
        </w:rPr>
        <w:t>venda</w:t>
      </w:r>
      <w:r>
        <w:rPr>
          <w:spacing w:val="29"/>
          <w:sz w:val="19"/>
        </w:rPr>
        <w:t> </w:t>
      </w:r>
      <w:r>
        <w:rPr>
          <w:sz w:val="19"/>
        </w:rPr>
        <w:t>da</w:t>
      </w:r>
      <w:r>
        <w:rPr>
          <w:spacing w:val="27"/>
          <w:sz w:val="19"/>
        </w:rPr>
        <w:t> </w:t>
      </w:r>
      <w:r>
        <w:rPr>
          <w:sz w:val="19"/>
        </w:rPr>
        <w:t>Companhia.</w:t>
      </w:r>
      <w:r>
        <w:rPr>
          <w:spacing w:val="29"/>
          <w:sz w:val="19"/>
        </w:rPr>
        <w:t> </w:t>
      </w:r>
      <w:r>
        <w:rPr>
          <w:sz w:val="19"/>
        </w:rPr>
        <w:t>Em</w:t>
      </w:r>
      <w:r>
        <w:rPr>
          <w:spacing w:val="27"/>
          <w:sz w:val="19"/>
        </w:rPr>
        <w:t> </w:t>
      </w:r>
      <w:r>
        <w:rPr>
          <w:sz w:val="19"/>
        </w:rPr>
        <w:t>quaisquer</w:t>
      </w:r>
      <w:r>
        <w:rPr>
          <w:spacing w:val="28"/>
          <w:sz w:val="19"/>
        </w:rPr>
        <w:t> </w:t>
      </w:r>
      <w:r>
        <w:rPr>
          <w:sz w:val="19"/>
        </w:rPr>
        <w:t>cenários,</w:t>
      </w:r>
      <w:r>
        <w:rPr>
          <w:spacing w:val="26"/>
          <w:sz w:val="19"/>
        </w:rPr>
        <w:t> </w:t>
      </w:r>
      <w:r>
        <w:rPr>
          <w:sz w:val="19"/>
        </w:rPr>
        <w:t>a</w:t>
      </w:r>
      <w:r>
        <w:rPr>
          <w:spacing w:val="29"/>
          <w:sz w:val="19"/>
        </w:rPr>
        <w:t> </w:t>
      </w:r>
      <w:r>
        <w:rPr>
          <w:sz w:val="19"/>
        </w:rPr>
        <w:t>Companhia</w:t>
      </w:r>
      <w:r>
        <w:rPr>
          <w:spacing w:val="29"/>
          <w:sz w:val="19"/>
        </w:rPr>
        <w:t> </w:t>
      </w:r>
      <w:r>
        <w:rPr>
          <w:sz w:val="19"/>
        </w:rPr>
        <w:t>manterá</w:t>
      </w:r>
      <w:r>
        <w:rPr>
          <w:spacing w:val="27"/>
          <w:sz w:val="19"/>
        </w:rPr>
        <w:t> </w:t>
      </w:r>
      <w:r>
        <w:rPr>
          <w:sz w:val="19"/>
        </w:rPr>
        <w:t>suas atividades dormentes ou não, por um período superior a 12 meses. Portanto, as demonstrações financeiras acima referidas devem ser lidas nesse contexto</w:t>
      </w:r>
      <w:r>
        <w:rPr>
          <w:rFonts w:ascii="Arial MT" w:hAnsi="Arial MT"/>
          <w:sz w:val="20"/>
        </w:rPr>
        <w:t>. </w:t>
      </w:r>
      <w:r>
        <w:rPr>
          <w:sz w:val="19"/>
        </w:rPr>
        <w:t>Nossa opinião não está ressalvada em relação a esse assunto.</w:t>
      </w:r>
    </w:p>
    <w:p>
      <w:pPr>
        <w:pStyle w:val="BodyText"/>
        <w:spacing w:before="36"/>
        <w:rPr>
          <w:sz w:val="20"/>
        </w:rPr>
      </w:pPr>
      <w:r>
        <w:rPr/>
        <mc:AlternateContent>
          <mc:Choice Requires="wps">
            <w:drawing>
              <wp:anchor distT="0" distB="0" distL="0" distR="0" allowOverlap="1" layoutInCell="1" locked="0" behindDoc="1" simplePos="0" relativeHeight="487591424">
                <wp:simplePos x="0" y="0"/>
                <wp:positionH relativeFrom="page">
                  <wp:posOffset>918972</wp:posOffset>
                </wp:positionH>
                <wp:positionV relativeFrom="paragraph">
                  <wp:posOffset>193250</wp:posOffset>
                </wp:positionV>
                <wp:extent cx="5732780" cy="296545"/>
                <wp:effectExtent l="0" t="0" r="0" b="0"/>
                <wp:wrapTopAndBottom/>
                <wp:docPr id="18" name="Textbox 18"/>
                <wp:cNvGraphicFramePr>
                  <a:graphicFrameLocks/>
                </wp:cNvGraphicFramePr>
                <a:graphic>
                  <a:graphicData uri="http://schemas.microsoft.com/office/word/2010/wordprocessingShape">
                    <wps:wsp>
                      <wps:cNvPr id="18" name="Textbox 18"/>
                      <wps:cNvSpPr txBox="1"/>
                      <wps:spPr>
                        <a:xfrm>
                          <a:off x="0" y="0"/>
                          <a:ext cx="5732780" cy="296545"/>
                        </a:xfrm>
                        <a:prstGeom prst="rect">
                          <a:avLst/>
                        </a:prstGeom>
                        <a:solidFill>
                          <a:srgbClr val="004D97"/>
                        </a:solidFill>
                      </wps:spPr>
                      <wps:txbx>
                        <w:txbxContent>
                          <w:p>
                            <w:pPr>
                              <w:spacing w:before="116"/>
                              <w:ind w:left="111" w:right="0" w:firstLine="0"/>
                              <w:jc w:val="left"/>
                              <w:rPr>
                                <w:b/>
                                <w:color w:val="000000"/>
                                <w:sz w:val="19"/>
                              </w:rPr>
                            </w:pPr>
                            <w:r>
                              <w:rPr>
                                <w:b/>
                                <w:color w:val="FFFFFF"/>
                                <w:sz w:val="19"/>
                              </w:rPr>
                              <w:t>Outros</w:t>
                            </w:r>
                            <w:r>
                              <w:rPr>
                                <w:b/>
                                <w:color w:val="FFFFFF"/>
                                <w:spacing w:val="-5"/>
                                <w:sz w:val="19"/>
                              </w:rPr>
                              <w:t> </w:t>
                            </w:r>
                            <w:r>
                              <w:rPr>
                                <w:b/>
                                <w:color w:val="FFFFFF"/>
                                <w:sz w:val="19"/>
                              </w:rPr>
                              <w:t>assuntos</w:t>
                            </w:r>
                            <w:r>
                              <w:rPr>
                                <w:b/>
                                <w:color w:val="FFFFFF"/>
                                <w:spacing w:val="-6"/>
                                <w:sz w:val="19"/>
                              </w:rPr>
                              <w:t> </w:t>
                            </w:r>
                            <w:r>
                              <w:rPr>
                                <w:b/>
                                <w:color w:val="FFFFFF"/>
                                <w:sz w:val="19"/>
                              </w:rPr>
                              <w:t>‐</w:t>
                            </w:r>
                            <w:r>
                              <w:rPr>
                                <w:b/>
                                <w:color w:val="FFFFFF"/>
                                <w:spacing w:val="-5"/>
                                <w:sz w:val="19"/>
                              </w:rPr>
                              <w:t> </w:t>
                            </w:r>
                            <w:r>
                              <w:rPr>
                                <w:b/>
                                <w:color w:val="FFFFFF"/>
                                <w:sz w:val="19"/>
                              </w:rPr>
                              <w:t>Demonstração</w:t>
                            </w:r>
                            <w:r>
                              <w:rPr>
                                <w:b/>
                                <w:color w:val="FFFFFF"/>
                                <w:spacing w:val="-6"/>
                                <w:sz w:val="19"/>
                              </w:rPr>
                              <w:t> </w:t>
                            </w:r>
                            <w:r>
                              <w:rPr>
                                <w:b/>
                                <w:color w:val="FFFFFF"/>
                                <w:sz w:val="19"/>
                              </w:rPr>
                              <w:t>do</w:t>
                            </w:r>
                            <w:r>
                              <w:rPr>
                                <w:b/>
                                <w:color w:val="FFFFFF"/>
                                <w:spacing w:val="-5"/>
                                <w:sz w:val="19"/>
                              </w:rPr>
                              <w:t> </w:t>
                            </w:r>
                            <w:r>
                              <w:rPr>
                                <w:b/>
                                <w:color w:val="FFFFFF"/>
                                <w:sz w:val="19"/>
                              </w:rPr>
                              <w:t>valor</w:t>
                            </w:r>
                            <w:r>
                              <w:rPr>
                                <w:b/>
                                <w:color w:val="FFFFFF"/>
                                <w:spacing w:val="-5"/>
                                <w:sz w:val="19"/>
                              </w:rPr>
                              <w:t> </w:t>
                            </w:r>
                            <w:r>
                              <w:rPr>
                                <w:b/>
                                <w:color w:val="FFFFFF"/>
                                <w:spacing w:val="-2"/>
                                <w:sz w:val="19"/>
                              </w:rPr>
                              <w:t>adicionado</w:t>
                            </w:r>
                          </w:p>
                        </w:txbxContent>
                      </wps:txbx>
                      <wps:bodyPr wrap="square" lIns="0" tIns="0" rIns="0" bIns="0" rtlCol="0">
                        <a:noAutofit/>
                      </wps:bodyPr>
                    </wps:wsp>
                  </a:graphicData>
                </a:graphic>
              </wp:anchor>
            </w:drawing>
          </mc:Choice>
          <mc:Fallback>
            <w:pict>
              <v:shape style="position:absolute;margin-left:72.360001pt;margin-top:15.216543pt;width:451.4pt;height:23.35pt;mso-position-horizontal-relative:page;mso-position-vertical-relative:paragraph;z-index:-15725056;mso-wrap-distance-left:0;mso-wrap-distance-right:0" type="#_x0000_t202" id="docshape16" filled="true" fillcolor="#004d97" stroked="false">
                <v:textbox inset="0,0,0,0">
                  <w:txbxContent>
                    <w:p>
                      <w:pPr>
                        <w:spacing w:before="116"/>
                        <w:ind w:left="111" w:right="0" w:firstLine="0"/>
                        <w:jc w:val="left"/>
                        <w:rPr>
                          <w:b/>
                          <w:color w:val="000000"/>
                          <w:sz w:val="19"/>
                        </w:rPr>
                      </w:pPr>
                      <w:r>
                        <w:rPr>
                          <w:b/>
                          <w:color w:val="FFFFFF"/>
                          <w:sz w:val="19"/>
                        </w:rPr>
                        <w:t>Outros</w:t>
                      </w:r>
                      <w:r>
                        <w:rPr>
                          <w:b/>
                          <w:color w:val="FFFFFF"/>
                          <w:spacing w:val="-5"/>
                          <w:sz w:val="19"/>
                        </w:rPr>
                        <w:t> </w:t>
                      </w:r>
                      <w:r>
                        <w:rPr>
                          <w:b/>
                          <w:color w:val="FFFFFF"/>
                          <w:sz w:val="19"/>
                        </w:rPr>
                        <w:t>assuntos</w:t>
                      </w:r>
                      <w:r>
                        <w:rPr>
                          <w:b/>
                          <w:color w:val="FFFFFF"/>
                          <w:spacing w:val="-6"/>
                          <w:sz w:val="19"/>
                        </w:rPr>
                        <w:t> </w:t>
                      </w:r>
                      <w:r>
                        <w:rPr>
                          <w:b/>
                          <w:color w:val="FFFFFF"/>
                          <w:sz w:val="19"/>
                        </w:rPr>
                        <w:t>‐</w:t>
                      </w:r>
                      <w:r>
                        <w:rPr>
                          <w:b/>
                          <w:color w:val="FFFFFF"/>
                          <w:spacing w:val="-5"/>
                          <w:sz w:val="19"/>
                        </w:rPr>
                        <w:t> </w:t>
                      </w:r>
                      <w:r>
                        <w:rPr>
                          <w:b/>
                          <w:color w:val="FFFFFF"/>
                          <w:sz w:val="19"/>
                        </w:rPr>
                        <w:t>Demonstração</w:t>
                      </w:r>
                      <w:r>
                        <w:rPr>
                          <w:b/>
                          <w:color w:val="FFFFFF"/>
                          <w:spacing w:val="-6"/>
                          <w:sz w:val="19"/>
                        </w:rPr>
                        <w:t> </w:t>
                      </w:r>
                      <w:r>
                        <w:rPr>
                          <w:b/>
                          <w:color w:val="FFFFFF"/>
                          <w:sz w:val="19"/>
                        </w:rPr>
                        <w:t>do</w:t>
                      </w:r>
                      <w:r>
                        <w:rPr>
                          <w:b/>
                          <w:color w:val="FFFFFF"/>
                          <w:spacing w:val="-5"/>
                          <w:sz w:val="19"/>
                        </w:rPr>
                        <w:t> </w:t>
                      </w:r>
                      <w:r>
                        <w:rPr>
                          <w:b/>
                          <w:color w:val="FFFFFF"/>
                          <w:sz w:val="19"/>
                        </w:rPr>
                        <w:t>valor</w:t>
                      </w:r>
                      <w:r>
                        <w:rPr>
                          <w:b/>
                          <w:color w:val="FFFFFF"/>
                          <w:spacing w:val="-5"/>
                          <w:sz w:val="19"/>
                        </w:rPr>
                        <w:t> </w:t>
                      </w:r>
                      <w:r>
                        <w:rPr>
                          <w:b/>
                          <w:color w:val="FFFFFF"/>
                          <w:spacing w:val="-2"/>
                          <w:sz w:val="19"/>
                        </w:rPr>
                        <w:t>adicionado</w:t>
                      </w:r>
                    </w:p>
                  </w:txbxContent>
                </v:textbox>
                <v:fill type="solid"/>
                <w10:wrap type="topAndBottom"/>
              </v:shape>
            </w:pict>
          </mc:Fallback>
        </mc:AlternateContent>
      </w:r>
    </w:p>
    <w:p>
      <w:pPr>
        <w:pStyle w:val="BodyText"/>
        <w:spacing w:before="4"/>
        <w:rPr>
          <w:sz w:val="19"/>
        </w:rPr>
      </w:pPr>
    </w:p>
    <w:p>
      <w:pPr>
        <w:spacing w:before="0"/>
        <w:ind w:left="838" w:right="835" w:firstLine="0"/>
        <w:jc w:val="both"/>
        <w:rPr>
          <w:sz w:val="19"/>
        </w:rPr>
      </w:pPr>
      <w:r>
        <w:rPr>
          <w:sz w:val="19"/>
        </w:rPr>
        <w:t>A demonstração do valor adicionado (DVA) referente ao exercício findo em 31 de dezembro de 2022, elaborada sob a responsabilidade da administração da Companhia, cuja apresentação não é requerida às companhias fechadas,</w:t>
      </w:r>
      <w:r>
        <w:rPr>
          <w:spacing w:val="-11"/>
          <w:sz w:val="19"/>
        </w:rPr>
        <w:t> </w:t>
      </w:r>
      <w:r>
        <w:rPr>
          <w:sz w:val="19"/>
        </w:rPr>
        <w:t>foi</w:t>
      </w:r>
      <w:r>
        <w:rPr>
          <w:spacing w:val="-9"/>
          <w:sz w:val="19"/>
        </w:rPr>
        <w:t> </w:t>
      </w:r>
      <w:r>
        <w:rPr>
          <w:sz w:val="19"/>
        </w:rPr>
        <w:t>submetida</w:t>
      </w:r>
      <w:r>
        <w:rPr>
          <w:spacing w:val="-9"/>
          <w:sz w:val="19"/>
        </w:rPr>
        <w:t> </w:t>
      </w:r>
      <w:r>
        <w:rPr>
          <w:sz w:val="19"/>
        </w:rPr>
        <w:t>a</w:t>
      </w:r>
      <w:r>
        <w:rPr>
          <w:spacing w:val="-11"/>
          <w:sz w:val="19"/>
        </w:rPr>
        <w:t> </w:t>
      </w:r>
      <w:r>
        <w:rPr>
          <w:sz w:val="19"/>
        </w:rPr>
        <w:t>procedimentos</w:t>
      </w:r>
      <w:r>
        <w:rPr>
          <w:spacing w:val="-9"/>
          <w:sz w:val="19"/>
        </w:rPr>
        <w:t> </w:t>
      </w:r>
      <w:r>
        <w:rPr>
          <w:sz w:val="19"/>
        </w:rPr>
        <w:t>de</w:t>
      </w:r>
      <w:r>
        <w:rPr>
          <w:spacing w:val="-9"/>
          <w:sz w:val="19"/>
        </w:rPr>
        <w:t> </w:t>
      </w:r>
      <w:r>
        <w:rPr>
          <w:sz w:val="19"/>
        </w:rPr>
        <w:t>auditoria</w:t>
      </w:r>
      <w:r>
        <w:rPr>
          <w:spacing w:val="-9"/>
          <w:sz w:val="19"/>
        </w:rPr>
        <w:t> </w:t>
      </w:r>
      <w:r>
        <w:rPr>
          <w:sz w:val="19"/>
        </w:rPr>
        <w:t>executados</w:t>
      </w:r>
      <w:r>
        <w:rPr>
          <w:spacing w:val="-9"/>
          <w:sz w:val="19"/>
        </w:rPr>
        <w:t> </w:t>
      </w:r>
      <w:r>
        <w:rPr>
          <w:sz w:val="19"/>
        </w:rPr>
        <w:t>em</w:t>
      </w:r>
      <w:r>
        <w:rPr>
          <w:spacing w:val="-10"/>
          <w:sz w:val="19"/>
        </w:rPr>
        <w:t> </w:t>
      </w:r>
      <w:r>
        <w:rPr>
          <w:sz w:val="19"/>
        </w:rPr>
        <w:t>conjunto</w:t>
      </w:r>
      <w:r>
        <w:rPr>
          <w:spacing w:val="-9"/>
          <w:sz w:val="19"/>
        </w:rPr>
        <w:t> </w:t>
      </w:r>
      <w:r>
        <w:rPr>
          <w:sz w:val="19"/>
        </w:rPr>
        <w:t>com</w:t>
      </w:r>
      <w:r>
        <w:rPr>
          <w:spacing w:val="-10"/>
          <w:sz w:val="19"/>
        </w:rPr>
        <w:t> </w:t>
      </w:r>
      <w:r>
        <w:rPr>
          <w:sz w:val="19"/>
        </w:rPr>
        <w:t>a</w:t>
      </w:r>
      <w:r>
        <w:rPr>
          <w:spacing w:val="-9"/>
          <w:sz w:val="19"/>
        </w:rPr>
        <w:t> </w:t>
      </w:r>
      <w:r>
        <w:rPr>
          <w:sz w:val="19"/>
        </w:rPr>
        <w:t>auditoria</w:t>
      </w:r>
      <w:r>
        <w:rPr>
          <w:spacing w:val="-11"/>
          <w:sz w:val="19"/>
        </w:rPr>
        <w:t> </w:t>
      </w:r>
      <w:r>
        <w:rPr>
          <w:sz w:val="19"/>
        </w:rPr>
        <w:t>das</w:t>
      </w:r>
      <w:r>
        <w:rPr>
          <w:spacing w:val="-9"/>
          <w:sz w:val="19"/>
        </w:rPr>
        <w:t> </w:t>
      </w:r>
      <w:r>
        <w:rPr>
          <w:sz w:val="19"/>
        </w:rPr>
        <w:t>demonstrações financeiras da Companhia. Para a formação de nossa opinião, avaliamos se essa demonstração está reconciliada com as demais demonstrações financeiras e registros contábeis, conforme aplicável, e se a sua forma e conteúdo estão de acordo com os critérios definidos no Pronunciamento Técnico CPC 09 ‐ Demonstração do Valor Adicionado. Em nossa opinião, essa demonstração do valor adicionado foi adequadamente preparada, em todos os</w:t>
      </w:r>
      <w:r>
        <w:rPr>
          <w:spacing w:val="-11"/>
          <w:sz w:val="19"/>
        </w:rPr>
        <w:t> </w:t>
      </w:r>
      <w:r>
        <w:rPr>
          <w:sz w:val="19"/>
        </w:rPr>
        <w:t>aspectos</w:t>
      </w:r>
      <w:r>
        <w:rPr>
          <w:spacing w:val="-11"/>
          <w:sz w:val="19"/>
        </w:rPr>
        <w:t> </w:t>
      </w:r>
      <w:r>
        <w:rPr>
          <w:sz w:val="19"/>
        </w:rPr>
        <w:t>relevantes,</w:t>
      </w:r>
      <w:r>
        <w:rPr>
          <w:spacing w:val="-11"/>
          <w:sz w:val="19"/>
        </w:rPr>
        <w:t> </w:t>
      </w:r>
      <w:r>
        <w:rPr>
          <w:sz w:val="19"/>
        </w:rPr>
        <w:t>segundo</w:t>
      </w:r>
      <w:r>
        <w:rPr>
          <w:spacing w:val="-10"/>
          <w:sz w:val="19"/>
        </w:rPr>
        <w:t> </w:t>
      </w:r>
      <w:r>
        <w:rPr>
          <w:sz w:val="19"/>
        </w:rPr>
        <w:t>os</w:t>
      </w:r>
      <w:r>
        <w:rPr>
          <w:spacing w:val="-11"/>
          <w:sz w:val="19"/>
        </w:rPr>
        <w:t> </w:t>
      </w:r>
      <w:r>
        <w:rPr>
          <w:sz w:val="19"/>
        </w:rPr>
        <w:t>critérios</w:t>
      </w:r>
      <w:r>
        <w:rPr>
          <w:spacing w:val="-11"/>
          <w:sz w:val="19"/>
        </w:rPr>
        <w:t> </w:t>
      </w:r>
      <w:r>
        <w:rPr>
          <w:sz w:val="19"/>
        </w:rPr>
        <w:t>definidos</w:t>
      </w:r>
      <w:r>
        <w:rPr>
          <w:spacing w:val="-11"/>
          <w:sz w:val="19"/>
        </w:rPr>
        <w:t> </w:t>
      </w:r>
      <w:r>
        <w:rPr>
          <w:sz w:val="19"/>
        </w:rPr>
        <w:t>nesse</w:t>
      </w:r>
      <w:r>
        <w:rPr>
          <w:spacing w:val="-10"/>
          <w:sz w:val="19"/>
        </w:rPr>
        <w:t> </w:t>
      </w:r>
      <w:r>
        <w:rPr>
          <w:sz w:val="19"/>
        </w:rPr>
        <w:t>Pronunciamento</w:t>
      </w:r>
      <w:r>
        <w:rPr>
          <w:spacing w:val="-11"/>
          <w:sz w:val="19"/>
        </w:rPr>
        <w:t> </w:t>
      </w:r>
      <w:r>
        <w:rPr>
          <w:sz w:val="19"/>
        </w:rPr>
        <w:t>Técnico</w:t>
      </w:r>
      <w:r>
        <w:rPr>
          <w:spacing w:val="-11"/>
          <w:sz w:val="19"/>
        </w:rPr>
        <w:t> </w:t>
      </w:r>
      <w:r>
        <w:rPr>
          <w:sz w:val="19"/>
        </w:rPr>
        <w:t>e</w:t>
      </w:r>
      <w:r>
        <w:rPr>
          <w:spacing w:val="-11"/>
          <w:sz w:val="19"/>
        </w:rPr>
        <w:t> </w:t>
      </w:r>
      <w:r>
        <w:rPr>
          <w:sz w:val="19"/>
        </w:rPr>
        <w:t>está</w:t>
      </w:r>
      <w:r>
        <w:rPr>
          <w:spacing w:val="-10"/>
          <w:sz w:val="19"/>
        </w:rPr>
        <w:t> </w:t>
      </w:r>
      <w:r>
        <w:rPr>
          <w:sz w:val="19"/>
        </w:rPr>
        <w:t>consistente</w:t>
      </w:r>
      <w:r>
        <w:rPr>
          <w:spacing w:val="-10"/>
          <w:sz w:val="19"/>
        </w:rPr>
        <w:t> </w:t>
      </w:r>
      <w:r>
        <w:rPr>
          <w:sz w:val="19"/>
        </w:rPr>
        <w:t>em</w:t>
      </w:r>
      <w:r>
        <w:rPr>
          <w:spacing w:val="-11"/>
          <w:sz w:val="19"/>
        </w:rPr>
        <w:t> </w:t>
      </w:r>
      <w:r>
        <w:rPr>
          <w:sz w:val="19"/>
        </w:rPr>
        <w:t>relação às demonstrações financeiras tomadas em conjunto.</w:t>
      </w:r>
    </w:p>
    <w:p>
      <w:pPr>
        <w:pStyle w:val="BodyText"/>
        <w:spacing w:before="40"/>
        <w:rPr>
          <w:sz w:val="20"/>
        </w:rPr>
      </w:pPr>
      <w:r>
        <w:rPr/>
        <mc:AlternateContent>
          <mc:Choice Requires="wps">
            <w:drawing>
              <wp:anchor distT="0" distB="0" distL="0" distR="0" allowOverlap="1" layoutInCell="1" locked="0" behindDoc="1" simplePos="0" relativeHeight="487591936">
                <wp:simplePos x="0" y="0"/>
                <wp:positionH relativeFrom="page">
                  <wp:posOffset>918972</wp:posOffset>
                </wp:positionH>
                <wp:positionV relativeFrom="paragraph">
                  <wp:posOffset>195747</wp:posOffset>
                </wp:positionV>
                <wp:extent cx="5732780" cy="295275"/>
                <wp:effectExtent l="0" t="0" r="0" b="0"/>
                <wp:wrapTopAndBottom/>
                <wp:docPr id="19" name="Textbox 19"/>
                <wp:cNvGraphicFramePr>
                  <a:graphicFrameLocks/>
                </wp:cNvGraphicFramePr>
                <a:graphic>
                  <a:graphicData uri="http://schemas.microsoft.com/office/word/2010/wordprocessingShape">
                    <wps:wsp>
                      <wps:cNvPr id="19" name="Textbox 19"/>
                      <wps:cNvSpPr txBox="1"/>
                      <wps:spPr>
                        <a:xfrm>
                          <a:off x="0" y="0"/>
                          <a:ext cx="5732780" cy="295275"/>
                        </a:xfrm>
                        <a:prstGeom prst="rect">
                          <a:avLst/>
                        </a:prstGeom>
                        <a:solidFill>
                          <a:srgbClr val="004D97"/>
                        </a:solidFill>
                      </wps:spPr>
                      <wps:txbx>
                        <w:txbxContent>
                          <w:p>
                            <w:pPr>
                              <w:spacing w:before="114"/>
                              <w:ind w:left="111" w:right="0" w:firstLine="0"/>
                              <w:jc w:val="left"/>
                              <w:rPr>
                                <w:b/>
                                <w:color w:val="000000"/>
                                <w:sz w:val="19"/>
                              </w:rPr>
                            </w:pPr>
                            <w:r>
                              <w:rPr>
                                <w:b/>
                                <w:color w:val="FFFFFF"/>
                                <w:sz w:val="19"/>
                              </w:rPr>
                              <w:t>Outras</w:t>
                            </w:r>
                            <w:r>
                              <w:rPr>
                                <w:b/>
                                <w:color w:val="FFFFFF"/>
                                <w:spacing w:val="-6"/>
                                <w:sz w:val="19"/>
                              </w:rPr>
                              <w:t> </w:t>
                            </w:r>
                            <w:r>
                              <w:rPr>
                                <w:b/>
                                <w:color w:val="FFFFFF"/>
                                <w:sz w:val="19"/>
                              </w:rPr>
                              <w:t>informações</w:t>
                            </w:r>
                            <w:r>
                              <w:rPr>
                                <w:b/>
                                <w:color w:val="FFFFFF"/>
                                <w:spacing w:val="-7"/>
                                <w:sz w:val="19"/>
                              </w:rPr>
                              <w:t> </w:t>
                            </w:r>
                            <w:r>
                              <w:rPr>
                                <w:b/>
                                <w:color w:val="FFFFFF"/>
                                <w:sz w:val="19"/>
                              </w:rPr>
                              <w:t>que</w:t>
                            </w:r>
                            <w:r>
                              <w:rPr>
                                <w:b/>
                                <w:color w:val="FFFFFF"/>
                                <w:spacing w:val="-6"/>
                                <w:sz w:val="19"/>
                              </w:rPr>
                              <w:t> </w:t>
                            </w:r>
                            <w:r>
                              <w:rPr>
                                <w:b/>
                                <w:color w:val="FFFFFF"/>
                                <w:sz w:val="19"/>
                              </w:rPr>
                              <w:t>acompanham</w:t>
                            </w:r>
                            <w:r>
                              <w:rPr>
                                <w:b/>
                                <w:color w:val="FFFFFF"/>
                                <w:spacing w:val="-5"/>
                                <w:sz w:val="19"/>
                              </w:rPr>
                              <w:t> </w:t>
                            </w:r>
                            <w:r>
                              <w:rPr>
                                <w:b/>
                                <w:color w:val="FFFFFF"/>
                                <w:sz w:val="19"/>
                              </w:rPr>
                              <w:t>as</w:t>
                            </w:r>
                            <w:r>
                              <w:rPr>
                                <w:b/>
                                <w:color w:val="FFFFFF"/>
                                <w:spacing w:val="-5"/>
                                <w:sz w:val="19"/>
                              </w:rPr>
                              <w:t> </w:t>
                            </w:r>
                            <w:r>
                              <w:rPr>
                                <w:b/>
                                <w:color w:val="FFFFFF"/>
                                <w:sz w:val="19"/>
                              </w:rPr>
                              <w:t>demonstrações</w:t>
                            </w:r>
                            <w:r>
                              <w:rPr>
                                <w:b/>
                                <w:color w:val="FFFFFF"/>
                                <w:spacing w:val="-7"/>
                                <w:sz w:val="19"/>
                              </w:rPr>
                              <w:t> </w:t>
                            </w:r>
                            <w:r>
                              <w:rPr>
                                <w:b/>
                                <w:color w:val="FFFFFF"/>
                                <w:sz w:val="19"/>
                              </w:rPr>
                              <w:t>financeiras</w:t>
                            </w:r>
                            <w:r>
                              <w:rPr>
                                <w:b/>
                                <w:color w:val="FFFFFF"/>
                                <w:spacing w:val="-6"/>
                                <w:sz w:val="19"/>
                              </w:rPr>
                              <w:t> </w:t>
                            </w:r>
                            <w:r>
                              <w:rPr>
                                <w:b/>
                                <w:color w:val="FFFFFF"/>
                                <w:sz w:val="19"/>
                              </w:rPr>
                              <w:t>e</w:t>
                            </w:r>
                            <w:r>
                              <w:rPr>
                                <w:b/>
                                <w:color w:val="FFFFFF"/>
                                <w:spacing w:val="-5"/>
                                <w:sz w:val="19"/>
                              </w:rPr>
                              <w:t> </w:t>
                            </w:r>
                            <w:r>
                              <w:rPr>
                                <w:b/>
                                <w:color w:val="FFFFFF"/>
                                <w:sz w:val="19"/>
                              </w:rPr>
                              <w:t>o</w:t>
                            </w:r>
                            <w:r>
                              <w:rPr>
                                <w:b/>
                                <w:color w:val="FFFFFF"/>
                                <w:spacing w:val="-6"/>
                                <w:sz w:val="19"/>
                              </w:rPr>
                              <w:t> </w:t>
                            </w:r>
                            <w:r>
                              <w:rPr>
                                <w:b/>
                                <w:color w:val="FFFFFF"/>
                                <w:sz w:val="19"/>
                              </w:rPr>
                              <w:t>relatório</w:t>
                            </w:r>
                            <w:r>
                              <w:rPr>
                                <w:b/>
                                <w:color w:val="FFFFFF"/>
                                <w:spacing w:val="-7"/>
                                <w:sz w:val="19"/>
                              </w:rPr>
                              <w:t> </w:t>
                            </w:r>
                            <w:r>
                              <w:rPr>
                                <w:b/>
                                <w:color w:val="FFFFFF"/>
                                <w:sz w:val="19"/>
                              </w:rPr>
                              <w:t>dos</w:t>
                            </w:r>
                            <w:r>
                              <w:rPr>
                                <w:b/>
                                <w:color w:val="FFFFFF"/>
                                <w:spacing w:val="-6"/>
                                <w:sz w:val="19"/>
                              </w:rPr>
                              <w:t> </w:t>
                            </w:r>
                            <w:r>
                              <w:rPr>
                                <w:b/>
                                <w:color w:val="FFFFFF"/>
                                <w:spacing w:val="-2"/>
                                <w:sz w:val="19"/>
                              </w:rPr>
                              <w:t>auditores</w:t>
                            </w:r>
                          </w:p>
                        </w:txbxContent>
                      </wps:txbx>
                      <wps:bodyPr wrap="square" lIns="0" tIns="0" rIns="0" bIns="0" rtlCol="0">
                        <a:noAutofit/>
                      </wps:bodyPr>
                    </wps:wsp>
                  </a:graphicData>
                </a:graphic>
              </wp:anchor>
            </w:drawing>
          </mc:Choice>
          <mc:Fallback>
            <w:pict>
              <v:shape style="position:absolute;margin-left:72.360001pt;margin-top:15.413203pt;width:451.4pt;height:23.25pt;mso-position-horizontal-relative:page;mso-position-vertical-relative:paragraph;z-index:-15724544;mso-wrap-distance-left:0;mso-wrap-distance-right:0" type="#_x0000_t202" id="docshape17" filled="true" fillcolor="#004d97" stroked="false">
                <v:textbox inset="0,0,0,0">
                  <w:txbxContent>
                    <w:p>
                      <w:pPr>
                        <w:spacing w:before="114"/>
                        <w:ind w:left="111" w:right="0" w:firstLine="0"/>
                        <w:jc w:val="left"/>
                        <w:rPr>
                          <w:b/>
                          <w:color w:val="000000"/>
                          <w:sz w:val="19"/>
                        </w:rPr>
                      </w:pPr>
                      <w:r>
                        <w:rPr>
                          <w:b/>
                          <w:color w:val="FFFFFF"/>
                          <w:sz w:val="19"/>
                        </w:rPr>
                        <w:t>Outras</w:t>
                      </w:r>
                      <w:r>
                        <w:rPr>
                          <w:b/>
                          <w:color w:val="FFFFFF"/>
                          <w:spacing w:val="-6"/>
                          <w:sz w:val="19"/>
                        </w:rPr>
                        <w:t> </w:t>
                      </w:r>
                      <w:r>
                        <w:rPr>
                          <w:b/>
                          <w:color w:val="FFFFFF"/>
                          <w:sz w:val="19"/>
                        </w:rPr>
                        <w:t>informações</w:t>
                      </w:r>
                      <w:r>
                        <w:rPr>
                          <w:b/>
                          <w:color w:val="FFFFFF"/>
                          <w:spacing w:val="-7"/>
                          <w:sz w:val="19"/>
                        </w:rPr>
                        <w:t> </w:t>
                      </w:r>
                      <w:r>
                        <w:rPr>
                          <w:b/>
                          <w:color w:val="FFFFFF"/>
                          <w:sz w:val="19"/>
                        </w:rPr>
                        <w:t>que</w:t>
                      </w:r>
                      <w:r>
                        <w:rPr>
                          <w:b/>
                          <w:color w:val="FFFFFF"/>
                          <w:spacing w:val="-6"/>
                          <w:sz w:val="19"/>
                        </w:rPr>
                        <w:t> </w:t>
                      </w:r>
                      <w:r>
                        <w:rPr>
                          <w:b/>
                          <w:color w:val="FFFFFF"/>
                          <w:sz w:val="19"/>
                        </w:rPr>
                        <w:t>acompanham</w:t>
                      </w:r>
                      <w:r>
                        <w:rPr>
                          <w:b/>
                          <w:color w:val="FFFFFF"/>
                          <w:spacing w:val="-5"/>
                          <w:sz w:val="19"/>
                        </w:rPr>
                        <w:t> </w:t>
                      </w:r>
                      <w:r>
                        <w:rPr>
                          <w:b/>
                          <w:color w:val="FFFFFF"/>
                          <w:sz w:val="19"/>
                        </w:rPr>
                        <w:t>as</w:t>
                      </w:r>
                      <w:r>
                        <w:rPr>
                          <w:b/>
                          <w:color w:val="FFFFFF"/>
                          <w:spacing w:val="-5"/>
                          <w:sz w:val="19"/>
                        </w:rPr>
                        <w:t> </w:t>
                      </w:r>
                      <w:r>
                        <w:rPr>
                          <w:b/>
                          <w:color w:val="FFFFFF"/>
                          <w:sz w:val="19"/>
                        </w:rPr>
                        <w:t>demonstrações</w:t>
                      </w:r>
                      <w:r>
                        <w:rPr>
                          <w:b/>
                          <w:color w:val="FFFFFF"/>
                          <w:spacing w:val="-7"/>
                          <w:sz w:val="19"/>
                        </w:rPr>
                        <w:t> </w:t>
                      </w:r>
                      <w:r>
                        <w:rPr>
                          <w:b/>
                          <w:color w:val="FFFFFF"/>
                          <w:sz w:val="19"/>
                        </w:rPr>
                        <w:t>financeiras</w:t>
                      </w:r>
                      <w:r>
                        <w:rPr>
                          <w:b/>
                          <w:color w:val="FFFFFF"/>
                          <w:spacing w:val="-6"/>
                          <w:sz w:val="19"/>
                        </w:rPr>
                        <w:t> </w:t>
                      </w:r>
                      <w:r>
                        <w:rPr>
                          <w:b/>
                          <w:color w:val="FFFFFF"/>
                          <w:sz w:val="19"/>
                        </w:rPr>
                        <w:t>e</w:t>
                      </w:r>
                      <w:r>
                        <w:rPr>
                          <w:b/>
                          <w:color w:val="FFFFFF"/>
                          <w:spacing w:val="-5"/>
                          <w:sz w:val="19"/>
                        </w:rPr>
                        <w:t> </w:t>
                      </w:r>
                      <w:r>
                        <w:rPr>
                          <w:b/>
                          <w:color w:val="FFFFFF"/>
                          <w:sz w:val="19"/>
                        </w:rPr>
                        <w:t>o</w:t>
                      </w:r>
                      <w:r>
                        <w:rPr>
                          <w:b/>
                          <w:color w:val="FFFFFF"/>
                          <w:spacing w:val="-6"/>
                          <w:sz w:val="19"/>
                        </w:rPr>
                        <w:t> </w:t>
                      </w:r>
                      <w:r>
                        <w:rPr>
                          <w:b/>
                          <w:color w:val="FFFFFF"/>
                          <w:sz w:val="19"/>
                        </w:rPr>
                        <w:t>relatório</w:t>
                      </w:r>
                      <w:r>
                        <w:rPr>
                          <w:b/>
                          <w:color w:val="FFFFFF"/>
                          <w:spacing w:val="-7"/>
                          <w:sz w:val="19"/>
                        </w:rPr>
                        <w:t> </w:t>
                      </w:r>
                      <w:r>
                        <w:rPr>
                          <w:b/>
                          <w:color w:val="FFFFFF"/>
                          <w:sz w:val="19"/>
                        </w:rPr>
                        <w:t>dos</w:t>
                      </w:r>
                      <w:r>
                        <w:rPr>
                          <w:b/>
                          <w:color w:val="FFFFFF"/>
                          <w:spacing w:val="-6"/>
                          <w:sz w:val="19"/>
                        </w:rPr>
                        <w:t> </w:t>
                      </w:r>
                      <w:r>
                        <w:rPr>
                          <w:b/>
                          <w:color w:val="FFFFFF"/>
                          <w:spacing w:val="-2"/>
                          <w:sz w:val="19"/>
                        </w:rPr>
                        <w:t>auditores</w:t>
                      </w:r>
                    </w:p>
                  </w:txbxContent>
                </v:textbox>
                <v:fill type="solid"/>
                <w10:wrap type="topAndBottom"/>
              </v:shape>
            </w:pict>
          </mc:Fallback>
        </mc:AlternateContent>
      </w:r>
    </w:p>
    <w:p>
      <w:pPr>
        <w:spacing w:line="247" w:lineRule="auto" w:before="116"/>
        <w:ind w:left="838" w:right="838" w:hanging="1"/>
        <w:jc w:val="both"/>
        <w:rPr>
          <w:sz w:val="19"/>
        </w:rPr>
      </w:pPr>
      <w:r>
        <w:rPr>
          <w:sz w:val="19"/>
        </w:rPr>
        <w:t>A administração da Companhia é responsável por essas outras informações que compreendem o Relatório da </w:t>
      </w:r>
      <w:r>
        <w:rPr>
          <w:spacing w:val="-2"/>
          <w:sz w:val="19"/>
        </w:rPr>
        <w:t>Administração.</w:t>
      </w:r>
    </w:p>
    <w:p>
      <w:pPr>
        <w:spacing w:line="247" w:lineRule="auto" w:before="121"/>
        <w:ind w:left="838" w:right="841" w:firstLine="0"/>
        <w:jc w:val="both"/>
        <w:rPr>
          <w:sz w:val="19"/>
        </w:rPr>
      </w:pPr>
      <w:r>
        <w:rPr>
          <w:sz w:val="19"/>
        </w:rPr>
        <w:t>Nossa opinião sobre as demonstrações financeiras não abrange o Relatório da Administração e não expressamos qualquer forma de conclusão de auditoria sobre esse relatório.</w:t>
      </w:r>
    </w:p>
    <w:p>
      <w:pPr>
        <w:spacing w:line="247" w:lineRule="auto" w:before="123"/>
        <w:ind w:left="838" w:right="839" w:firstLine="0"/>
        <w:jc w:val="both"/>
        <w:rPr>
          <w:sz w:val="19"/>
        </w:rPr>
      </w:pPr>
      <w:r>
        <w:rPr>
          <w:sz w:val="19"/>
        </w:rPr>
        <w:t>Em conexão com a auditoria das demonstrações financeiras, nossa responsabilidade é a de ler o Relatório da Administração e, ao fazê‐lo, considerar se esse relatório está, de forma relevante, inconsistente com as demonstrações financeiras ou com nosso conhecimento obtido na auditoria ou, de outra forma, aparenta estar distorcido de forma relevante. Se, com base no trabalho realizado, concluirmos que há distorção relevante no Relatório da Administração, somos requeridos a comunicar esse fato. Não temos nada a relatar a este respeito.</w:t>
      </w:r>
    </w:p>
    <w:p>
      <w:pPr>
        <w:pStyle w:val="BodyText"/>
        <w:spacing w:before="25"/>
        <w:rPr>
          <w:sz w:val="20"/>
        </w:rPr>
      </w:pPr>
      <w:r>
        <w:rPr/>
        <mc:AlternateContent>
          <mc:Choice Requires="wps">
            <w:drawing>
              <wp:anchor distT="0" distB="0" distL="0" distR="0" allowOverlap="1" layoutInCell="1" locked="0" behindDoc="1" simplePos="0" relativeHeight="487592448">
                <wp:simplePos x="0" y="0"/>
                <wp:positionH relativeFrom="page">
                  <wp:posOffset>918972</wp:posOffset>
                </wp:positionH>
                <wp:positionV relativeFrom="paragraph">
                  <wp:posOffset>186166</wp:posOffset>
                </wp:positionV>
                <wp:extent cx="5732780" cy="295910"/>
                <wp:effectExtent l="0" t="0" r="0" b="0"/>
                <wp:wrapTopAndBottom/>
                <wp:docPr id="20" name="Textbox 20"/>
                <wp:cNvGraphicFramePr>
                  <a:graphicFrameLocks/>
                </wp:cNvGraphicFramePr>
                <a:graphic>
                  <a:graphicData uri="http://schemas.microsoft.com/office/word/2010/wordprocessingShape">
                    <wps:wsp>
                      <wps:cNvPr id="20" name="Textbox 20"/>
                      <wps:cNvSpPr txBox="1"/>
                      <wps:spPr>
                        <a:xfrm>
                          <a:off x="0" y="0"/>
                          <a:ext cx="5732780" cy="295910"/>
                        </a:xfrm>
                        <a:prstGeom prst="rect">
                          <a:avLst/>
                        </a:prstGeom>
                        <a:solidFill>
                          <a:srgbClr val="004D97"/>
                        </a:solidFill>
                      </wps:spPr>
                      <wps:txbx>
                        <w:txbxContent>
                          <w:p>
                            <w:pPr>
                              <w:spacing w:before="115"/>
                              <w:ind w:left="111" w:right="0" w:firstLine="0"/>
                              <w:jc w:val="left"/>
                              <w:rPr>
                                <w:b/>
                                <w:color w:val="000000"/>
                                <w:sz w:val="19"/>
                              </w:rPr>
                            </w:pPr>
                            <w:r>
                              <w:rPr>
                                <w:b/>
                                <w:color w:val="FFFFFF"/>
                                <w:sz w:val="19"/>
                              </w:rPr>
                              <w:t>Responsabilidades</w:t>
                            </w:r>
                            <w:r>
                              <w:rPr>
                                <w:b/>
                                <w:color w:val="FFFFFF"/>
                                <w:spacing w:val="-11"/>
                                <w:sz w:val="19"/>
                              </w:rPr>
                              <w:t> </w:t>
                            </w:r>
                            <w:r>
                              <w:rPr>
                                <w:b/>
                                <w:color w:val="FFFFFF"/>
                                <w:sz w:val="19"/>
                              </w:rPr>
                              <w:t>da</w:t>
                            </w:r>
                            <w:r>
                              <w:rPr>
                                <w:b/>
                                <w:color w:val="FFFFFF"/>
                                <w:spacing w:val="-9"/>
                                <w:sz w:val="19"/>
                              </w:rPr>
                              <w:t> </w:t>
                            </w:r>
                            <w:r>
                              <w:rPr>
                                <w:b/>
                                <w:color w:val="FFFFFF"/>
                                <w:sz w:val="19"/>
                              </w:rPr>
                              <w:t>administração</w:t>
                            </w:r>
                            <w:r>
                              <w:rPr>
                                <w:b/>
                                <w:color w:val="FFFFFF"/>
                                <w:spacing w:val="-10"/>
                                <w:sz w:val="19"/>
                              </w:rPr>
                              <w:t> </w:t>
                            </w:r>
                            <w:r>
                              <w:rPr>
                                <w:b/>
                                <w:color w:val="FFFFFF"/>
                                <w:sz w:val="19"/>
                              </w:rPr>
                              <w:t>pelas</w:t>
                            </w:r>
                            <w:r>
                              <w:rPr>
                                <w:b/>
                                <w:color w:val="FFFFFF"/>
                                <w:spacing w:val="-9"/>
                                <w:sz w:val="19"/>
                              </w:rPr>
                              <w:t> </w:t>
                            </w:r>
                            <w:r>
                              <w:rPr>
                                <w:b/>
                                <w:color w:val="FFFFFF"/>
                                <w:sz w:val="19"/>
                              </w:rPr>
                              <w:t>demonstrações</w:t>
                            </w:r>
                            <w:r>
                              <w:rPr>
                                <w:b/>
                                <w:color w:val="FFFFFF"/>
                                <w:spacing w:val="-11"/>
                                <w:sz w:val="19"/>
                              </w:rPr>
                              <w:t> </w:t>
                            </w:r>
                            <w:r>
                              <w:rPr>
                                <w:b/>
                                <w:color w:val="FFFFFF"/>
                                <w:spacing w:val="-2"/>
                                <w:sz w:val="19"/>
                              </w:rPr>
                              <w:t>financeiras</w:t>
                            </w:r>
                          </w:p>
                        </w:txbxContent>
                      </wps:txbx>
                      <wps:bodyPr wrap="square" lIns="0" tIns="0" rIns="0" bIns="0" rtlCol="0">
                        <a:noAutofit/>
                      </wps:bodyPr>
                    </wps:wsp>
                  </a:graphicData>
                </a:graphic>
              </wp:anchor>
            </w:drawing>
          </mc:Choice>
          <mc:Fallback>
            <w:pict>
              <v:shape style="position:absolute;margin-left:72.360001pt;margin-top:14.658779pt;width:451.4pt;height:23.3pt;mso-position-horizontal-relative:page;mso-position-vertical-relative:paragraph;z-index:-15724032;mso-wrap-distance-left:0;mso-wrap-distance-right:0" type="#_x0000_t202" id="docshape18" filled="true" fillcolor="#004d97" stroked="false">
                <v:textbox inset="0,0,0,0">
                  <w:txbxContent>
                    <w:p>
                      <w:pPr>
                        <w:spacing w:before="115"/>
                        <w:ind w:left="111" w:right="0" w:firstLine="0"/>
                        <w:jc w:val="left"/>
                        <w:rPr>
                          <w:b/>
                          <w:color w:val="000000"/>
                          <w:sz w:val="19"/>
                        </w:rPr>
                      </w:pPr>
                      <w:r>
                        <w:rPr>
                          <w:b/>
                          <w:color w:val="FFFFFF"/>
                          <w:sz w:val="19"/>
                        </w:rPr>
                        <w:t>Responsabilidades</w:t>
                      </w:r>
                      <w:r>
                        <w:rPr>
                          <w:b/>
                          <w:color w:val="FFFFFF"/>
                          <w:spacing w:val="-11"/>
                          <w:sz w:val="19"/>
                        </w:rPr>
                        <w:t> </w:t>
                      </w:r>
                      <w:r>
                        <w:rPr>
                          <w:b/>
                          <w:color w:val="FFFFFF"/>
                          <w:sz w:val="19"/>
                        </w:rPr>
                        <w:t>da</w:t>
                      </w:r>
                      <w:r>
                        <w:rPr>
                          <w:b/>
                          <w:color w:val="FFFFFF"/>
                          <w:spacing w:val="-9"/>
                          <w:sz w:val="19"/>
                        </w:rPr>
                        <w:t> </w:t>
                      </w:r>
                      <w:r>
                        <w:rPr>
                          <w:b/>
                          <w:color w:val="FFFFFF"/>
                          <w:sz w:val="19"/>
                        </w:rPr>
                        <w:t>administração</w:t>
                      </w:r>
                      <w:r>
                        <w:rPr>
                          <w:b/>
                          <w:color w:val="FFFFFF"/>
                          <w:spacing w:val="-10"/>
                          <w:sz w:val="19"/>
                        </w:rPr>
                        <w:t> </w:t>
                      </w:r>
                      <w:r>
                        <w:rPr>
                          <w:b/>
                          <w:color w:val="FFFFFF"/>
                          <w:sz w:val="19"/>
                        </w:rPr>
                        <w:t>pelas</w:t>
                      </w:r>
                      <w:r>
                        <w:rPr>
                          <w:b/>
                          <w:color w:val="FFFFFF"/>
                          <w:spacing w:val="-9"/>
                          <w:sz w:val="19"/>
                        </w:rPr>
                        <w:t> </w:t>
                      </w:r>
                      <w:r>
                        <w:rPr>
                          <w:b/>
                          <w:color w:val="FFFFFF"/>
                          <w:sz w:val="19"/>
                        </w:rPr>
                        <w:t>demonstrações</w:t>
                      </w:r>
                      <w:r>
                        <w:rPr>
                          <w:b/>
                          <w:color w:val="FFFFFF"/>
                          <w:spacing w:val="-11"/>
                          <w:sz w:val="19"/>
                        </w:rPr>
                        <w:t> </w:t>
                      </w:r>
                      <w:r>
                        <w:rPr>
                          <w:b/>
                          <w:color w:val="FFFFFF"/>
                          <w:spacing w:val="-2"/>
                          <w:sz w:val="19"/>
                        </w:rPr>
                        <w:t>financeiras</w:t>
                      </w:r>
                    </w:p>
                  </w:txbxContent>
                </v:textbox>
                <v:fill type="solid"/>
                <w10:wrap type="topAndBottom"/>
              </v:shape>
            </w:pict>
          </mc:Fallback>
        </mc:AlternateContent>
      </w:r>
    </w:p>
    <w:p>
      <w:pPr>
        <w:spacing w:line="247" w:lineRule="auto" w:before="116"/>
        <w:ind w:left="838" w:right="834" w:firstLine="0"/>
        <w:jc w:val="both"/>
        <w:rPr>
          <w:sz w:val="19"/>
        </w:rPr>
      </w:pPr>
      <w:r>
        <w:rPr>
          <w:sz w:val="19"/>
        </w:rPr>
        <w:t>A</w:t>
      </w:r>
      <w:r>
        <w:rPr>
          <w:spacing w:val="-11"/>
          <w:sz w:val="19"/>
        </w:rPr>
        <w:t> </w:t>
      </w:r>
      <w:r>
        <w:rPr>
          <w:sz w:val="19"/>
        </w:rPr>
        <w:t>administração</w:t>
      </w:r>
      <w:r>
        <w:rPr>
          <w:spacing w:val="-11"/>
          <w:sz w:val="19"/>
        </w:rPr>
        <w:t> </w:t>
      </w:r>
      <w:r>
        <w:rPr>
          <w:sz w:val="19"/>
        </w:rPr>
        <w:t>é</w:t>
      </w:r>
      <w:r>
        <w:rPr>
          <w:spacing w:val="-11"/>
          <w:sz w:val="19"/>
        </w:rPr>
        <w:t> </w:t>
      </w:r>
      <w:r>
        <w:rPr>
          <w:sz w:val="19"/>
        </w:rPr>
        <w:t>responsável</w:t>
      </w:r>
      <w:r>
        <w:rPr>
          <w:spacing w:val="-10"/>
          <w:sz w:val="19"/>
        </w:rPr>
        <w:t> </w:t>
      </w:r>
      <w:r>
        <w:rPr>
          <w:sz w:val="19"/>
        </w:rPr>
        <w:t>pela</w:t>
      </w:r>
      <w:r>
        <w:rPr>
          <w:spacing w:val="-9"/>
          <w:sz w:val="19"/>
        </w:rPr>
        <w:t> </w:t>
      </w:r>
      <w:r>
        <w:rPr>
          <w:sz w:val="19"/>
        </w:rPr>
        <w:t>elaboração</w:t>
      </w:r>
      <w:r>
        <w:rPr>
          <w:spacing w:val="-10"/>
          <w:sz w:val="19"/>
        </w:rPr>
        <w:t> </w:t>
      </w:r>
      <w:r>
        <w:rPr>
          <w:sz w:val="19"/>
        </w:rPr>
        <w:t>e</w:t>
      </w:r>
      <w:r>
        <w:rPr>
          <w:spacing w:val="-11"/>
          <w:sz w:val="19"/>
        </w:rPr>
        <w:t> </w:t>
      </w:r>
      <w:r>
        <w:rPr>
          <w:sz w:val="19"/>
        </w:rPr>
        <w:t>adequada</w:t>
      </w:r>
      <w:r>
        <w:rPr>
          <w:spacing w:val="-11"/>
          <w:sz w:val="19"/>
        </w:rPr>
        <w:t> </w:t>
      </w:r>
      <w:r>
        <w:rPr>
          <w:sz w:val="19"/>
        </w:rPr>
        <w:t>apresentação</w:t>
      </w:r>
      <w:r>
        <w:rPr>
          <w:spacing w:val="-10"/>
          <w:sz w:val="19"/>
        </w:rPr>
        <w:t> </w:t>
      </w:r>
      <w:r>
        <w:rPr>
          <w:sz w:val="19"/>
        </w:rPr>
        <w:t>das</w:t>
      </w:r>
      <w:r>
        <w:rPr>
          <w:spacing w:val="-10"/>
          <w:sz w:val="19"/>
        </w:rPr>
        <w:t> </w:t>
      </w:r>
      <w:r>
        <w:rPr>
          <w:sz w:val="19"/>
        </w:rPr>
        <w:t>demonstrações</w:t>
      </w:r>
      <w:r>
        <w:rPr>
          <w:spacing w:val="-9"/>
          <w:sz w:val="19"/>
        </w:rPr>
        <w:t> </w:t>
      </w:r>
      <w:r>
        <w:rPr>
          <w:sz w:val="19"/>
        </w:rPr>
        <w:t>financeiras</w:t>
      </w:r>
      <w:r>
        <w:rPr>
          <w:spacing w:val="-9"/>
          <w:sz w:val="19"/>
        </w:rPr>
        <w:t> </w:t>
      </w:r>
      <w:r>
        <w:rPr>
          <w:sz w:val="19"/>
        </w:rPr>
        <w:t>de</w:t>
      </w:r>
      <w:r>
        <w:rPr>
          <w:spacing w:val="-11"/>
          <w:sz w:val="19"/>
        </w:rPr>
        <w:t> </w:t>
      </w:r>
      <w:r>
        <w:rPr>
          <w:sz w:val="19"/>
        </w:rPr>
        <w:t>acordo com</w:t>
      </w:r>
      <w:r>
        <w:rPr>
          <w:spacing w:val="-7"/>
          <w:sz w:val="19"/>
        </w:rPr>
        <w:t> </w:t>
      </w:r>
      <w:r>
        <w:rPr>
          <w:sz w:val="19"/>
        </w:rPr>
        <w:t>as</w:t>
      </w:r>
      <w:r>
        <w:rPr>
          <w:spacing w:val="-5"/>
          <w:sz w:val="19"/>
        </w:rPr>
        <w:t> </w:t>
      </w:r>
      <w:r>
        <w:rPr>
          <w:sz w:val="19"/>
        </w:rPr>
        <w:t>práticas</w:t>
      </w:r>
      <w:r>
        <w:rPr>
          <w:spacing w:val="-7"/>
          <w:sz w:val="19"/>
        </w:rPr>
        <w:t> </w:t>
      </w:r>
      <w:r>
        <w:rPr>
          <w:sz w:val="19"/>
        </w:rPr>
        <w:t>contábeis</w:t>
      </w:r>
      <w:r>
        <w:rPr>
          <w:spacing w:val="-5"/>
          <w:sz w:val="19"/>
        </w:rPr>
        <w:t> </w:t>
      </w:r>
      <w:r>
        <w:rPr>
          <w:sz w:val="19"/>
        </w:rPr>
        <w:t>adotadas</w:t>
      </w:r>
      <w:r>
        <w:rPr>
          <w:spacing w:val="-7"/>
          <w:sz w:val="19"/>
        </w:rPr>
        <w:t> </w:t>
      </w:r>
      <w:r>
        <w:rPr>
          <w:sz w:val="19"/>
        </w:rPr>
        <w:t>no</w:t>
      </w:r>
      <w:r>
        <w:rPr>
          <w:spacing w:val="-5"/>
          <w:sz w:val="19"/>
        </w:rPr>
        <w:t> </w:t>
      </w:r>
      <w:r>
        <w:rPr>
          <w:sz w:val="19"/>
        </w:rPr>
        <w:t>Brasil</w:t>
      </w:r>
      <w:r>
        <w:rPr>
          <w:spacing w:val="-6"/>
          <w:sz w:val="19"/>
        </w:rPr>
        <w:t> </w:t>
      </w:r>
      <w:r>
        <w:rPr>
          <w:sz w:val="19"/>
        </w:rPr>
        <w:t>e</w:t>
      </w:r>
      <w:r>
        <w:rPr>
          <w:spacing w:val="-8"/>
          <w:sz w:val="19"/>
        </w:rPr>
        <w:t> </w:t>
      </w:r>
      <w:r>
        <w:rPr>
          <w:sz w:val="19"/>
        </w:rPr>
        <w:t>pelos</w:t>
      </w:r>
      <w:r>
        <w:rPr>
          <w:spacing w:val="-4"/>
          <w:sz w:val="19"/>
        </w:rPr>
        <w:t> </w:t>
      </w:r>
      <w:r>
        <w:rPr>
          <w:sz w:val="19"/>
        </w:rPr>
        <w:t>controles</w:t>
      </w:r>
      <w:r>
        <w:rPr>
          <w:spacing w:val="-5"/>
          <w:sz w:val="19"/>
        </w:rPr>
        <w:t> </w:t>
      </w:r>
      <w:r>
        <w:rPr>
          <w:sz w:val="19"/>
        </w:rPr>
        <w:t>internos</w:t>
      </w:r>
      <w:r>
        <w:rPr>
          <w:spacing w:val="-5"/>
          <w:sz w:val="19"/>
        </w:rPr>
        <w:t> </w:t>
      </w:r>
      <w:r>
        <w:rPr>
          <w:sz w:val="19"/>
        </w:rPr>
        <w:t>que</w:t>
      </w:r>
      <w:r>
        <w:rPr>
          <w:spacing w:val="-7"/>
          <w:sz w:val="19"/>
        </w:rPr>
        <w:t> </w:t>
      </w:r>
      <w:r>
        <w:rPr>
          <w:sz w:val="19"/>
        </w:rPr>
        <w:t>ela</w:t>
      </w:r>
      <w:r>
        <w:rPr>
          <w:spacing w:val="-5"/>
          <w:sz w:val="19"/>
        </w:rPr>
        <w:t> </w:t>
      </w:r>
      <w:r>
        <w:rPr>
          <w:sz w:val="19"/>
        </w:rPr>
        <w:t>determinou</w:t>
      </w:r>
      <w:r>
        <w:rPr>
          <w:spacing w:val="-5"/>
          <w:sz w:val="19"/>
        </w:rPr>
        <w:t> </w:t>
      </w:r>
      <w:r>
        <w:rPr>
          <w:sz w:val="19"/>
        </w:rPr>
        <w:t>como</w:t>
      </w:r>
      <w:r>
        <w:rPr>
          <w:spacing w:val="-6"/>
          <w:sz w:val="19"/>
        </w:rPr>
        <w:t> </w:t>
      </w:r>
      <w:r>
        <w:rPr>
          <w:sz w:val="19"/>
        </w:rPr>
        <w:t>necessários</w:t>
      </w:r>
      <w:r>
        <w:rPr>
          <w:spacing w:val="-4"/>
          <w:sz w:val="19"/>
        </w:rPr>
        <w:t> </w:t>
      </w:r>
      <w:r>
        <w:rPr>
          <w:sz w:val="19"/>
        </w:rPr>
        <w:t>para permitir</w:t>
      </w:r>
      <w:r>
        <w:rPr>
          <w:spacing w:val="-5"/>
          <w:sz w:val="19"/>
        </w:rPr>
        <w:t> </w:t>
      </w:r>
      <w:r>
        <w:rPr>
          <w:sz w:val="19"/>
        </w:rPr>
        <w:t>a</w:t>
      </w:r>
      <w:r>
        <w:rPr>
          <w:spacing w:val="-3"/>
          <w:sz w:val="19"/>
        </w:rPr>
        <w:t> </w:t>
      </w:r>
      <w:r>
        <w:rPr>
          <w:sz w:val="19"/>
        </w:rPr>
        <w:t>elaboração</w:t>
      </w:r>
      <w:r>
        <w:rPr>
          <w:spacing w:val="-4"/>
          <w:sz w:val="19"/>
        </w:rPr>
        <w:t> </w:t>
      </w:r>
      <w:r>
        <w:rPr>
          <w:sz w:val="19"/>
        </w:rPr>
        <w:t>de</w:t>
      </w:r>
      <w:r>
        <w:rPr>
          <w:spacing w:val="-3"/>
          <w:sz w:val="19"/>
        </w:rPr>
        <w:t> </w:t>
      </w:r>
      <w:r>
        <w:rPr>
          <w:sz w:val="19"/>
        </w:rPr>
        <w:t>demonstrações</w:t>
      </w:r>
      <w:r>
        <w:rPr>
          <w:spacing w:val="-3"/>
          <w:sz w:val="19"/>
        </w:rPr>
        <w:t> </w:t>
      </w:r>
      <w:r>
        <w:rPr>
          <w:sz w:val="19"/>
        </w:rPr>
        <w:t>financeiras</w:t>
      </w:r>
      <w:r>
        <w:rPr>
          <w:spacing w:val="-3"/>
          <w:sz w:val="19"/>
        </w:rPr>
        <w:t> </w:t>
      </w:r>
      <w:r>
        <w:rPr>
          <w:sz w:val="19"/>
        </w:rPr>
        <w:t>livres</w:t>
      </w:r>
      <w:r>
        <w:rPr>
          <w:spacing w:val="-3"/>
          <w:sz w:val="19"/>
        </w:rPr>
        <w:t> </w:t>
      </w:r>
      <w:r>
        <w:rPr>
          <w:sz w:val="19"/>
        </w:rPr>
        <w:t>de</w:t>
      </w:r>
      <w:r>
        <w:rPr>
          <w:spacing w:val="-4"/>
          <w:sz w:val="19"/>
        </w:rPr>
        <w:t> </w:t>
      </w:r>
      <w:r>
        <w:rPr>
          <w:sz w:val="19"/>
        </w:rPr>
        <w:t>distorção relevante,</w:t>
      </w:r>
      <w:r>
        <w:rPr>
          <w:spacing w:val="-5"/>
          <w:sz w:val="19"/>
        </w:rPr>
        <w:t> </w:t>
      </w:r>
      <w:r>
        <w:rPr>
          <w:sz w:val="19"/>
        </w:rPr>
        <w:t>independentemente</w:t>
      </w:r>
      <w:r>
        <w:rPr>
          <w:spacing w:val="-2"/>
          <w:sz w:val="19"/>
        </w:rPr>
        <w:t> </w:t>
      </w:r>
      <w:r>
        <w:rPr>
          <w:sz w:val="19"/>
        </w:rPr>
        <w:t>se</w:t>
      </w:r>
      <w:r>
        <w:rPr>
          <w:spacing w:val="-3"/>
          <w:sz w:val="19"/>
        </w:rPr>
        <w:t> </w:t>
      </w:r>
      <w:r>
        <w:rPr>
          <w:sz w:val="19"/>
        </w:rPr>
        <w:t>causada por fraude ou erro.</w:t>
      </w:r>
    </w:p>
    <w:p>
      <w:pPr>
        <w:spacing w:line="247" w:lineRule="auto" w:before="122"/>
        <w:ind w:left="838" w:right="839" w:hanging="1"/>
        <w:jc w:val="both"/>
        <w:rPr>
          <w:sz w:val="19"/>
        </w:rPr>
      </w:pPr>
      <w:r>
        <w:rPr>
          <w:sz w:val="19"/>
        </w:rPr>
        <w:t>Na elaboração das demonstrações financeiras, a administração é responsável pela avaliação da capacidade de a Companhia continuar operando, divulgando, quando aplicável, os assuntos relacionados com a sua continuidade operacional e o uso dessa base contábil na elaboração das demonstrações financeiras, a não ser que a administração</w:t>
      </w:r>
      <w:r>
        <w:rPr>
          <w:spacing w:val="-11"/>
          <w:sz w:val="19"/>
        </w:rPr>
        <w:t> </w:t>
      </w:r>
      <w:r>
        <w:rPr>
          <w:sz w:val="19"/>
        </w:rPr>
        <w:t>pretenda</w:t>
      </w:r>
      <w:r>
        <w:rPr>
          <w:spacing w:val="-11"/>
          <w:sz w:val="19"/>
        </w:rPr>
        <w:t> </w:t>
      </w:r>
      <w:r>
        <w:rPr>
          <w:sz w:val="19"/>
        </w:rPr>
        <w:t>liquidar</w:t>
      </w:r>
      <w:r>
        <w:rPr>
          <w:spacing w:val="-10"/>
          <w:sz w:val="19"/>
        </w:rPr>
        <w:t> </w:t>
      </w:r>
      <w:r>
        <w:rPr>
          <w:sz w:val="19"/>
        </w:rPr>
        <w:t>a</w:t>
      </w:r>
      <w:r>
        <w:rPr>
          <w:spacing w:val="-7"/>
          <w:sz w:val="19"/>
        </w:rPr>
        <w:t> </w:t>
      </w:r>
      <w:r>
        <w:rPr>
          <w:sz w:val="19"/>
        </w:rPr>
        <w:t>Companhia</w:t>
      </w:r>
      <w:r>
        <w:rPr>
          <w:spacing w:val="-10"/>
          <w:sz w:val="19"/>
        </w:rPr>
        <w:t> </w:t>
      </w:r>
      <w:r>
        <w:rPr>
          <w:sz w:val="19"/>
        </w:rPr>
        <w:t>ou</w:t>
      </w:r>
      <w:r>
        <w:rPr>
          <w:spacing w:val="-11"/>
          <w:sz w:val="19"/>
        </w:rPr>
        <w:t> </w:t>
      </w:r>
      <w:r>
        <w:rPr>
          <w:sz w:val="19"/>
        </w:rPr>
        <w:t>cessar</w:t>
      </w:r>
      <w:r>
        <w:rPr>
          <w:spacing w:val="-10"/>
          <w:sz w:val="19"/>
        </w:rPr>
        <w:t> </w:t>
      </w:r>
      <w:r>
        <w:rPr>
          <w:sz w:val="19"/>
        </w:rPr>
        <w:t>suas</w:t>
      </w:r>
      <w:r>
        <w:rPr>
          <w:spacing w:val="-9"/>
          <w:sz w:val="19"/>
        </w:rPr>
        <w:t> </w:t>
      </w:r>
      <w:r>
        <w:rPr>
          <w:sz w:val="19"/>
        </w:rPr>
        <w:t>operações,</w:t>
      </w:r>
      <w:r>
        <w:rPr>
          <w:spacing w:val="-11"/>
          <w:sz w:val="19"/>
        </w:rPr>
        <w:t> </w:t>
      </w:r>
      <w:r>
        <w:rPr>
          <w:sz w:val="19"/>
        </w:rPr>
        <w:t>ou</w:t>
      </w:r>
      <w:r>
        <w:rPr>
          <w:spacing w:val="-11"/>
          <w:sz w:val="19"/>
        </w:rPr>
        <w:t> </w:t>
      </w:r>
      <w:r>
        <w:rPr>
          <w:sz w:val="19"/>
        </w:rPr>
        <w:t>não</w:t>
      </w:r>
      <w:r>
        <w:rPr>
          <w:spacing w:val="-11"/>
          <w:sz w:val="19"/>
        </w:rPr>
        <w:t> </w:t>
      </w:r>
      <w:r>
        <w:rPr>
          <w:sz w:val="19"/>
        </w:rPr>
        <w:t>tenha</w:t>
      </w:r>
      <w:r>
        <w:rPr>
          <w:spacing w:val="-10"/>
          <w:sz w:val="19"/>
        </w:rPr>
        <w:t> </w:t>
      </w:r>
      <w:r>
        <w:rPr>
          <w:sz w:val="19"/>
        </w:rPr>
        <w:t>nenhuma</w:t>
      </w:r>
      <w:r>
        <w:rPr>
          <w:spacing w:val="-8"/>
          <w:sz w:val="19"/>
        </w:rPr>
        <w:t> </w:t>
      </w:r>
      <w:r>
        <w:rPr>
          <w:sz w:val="19"/>
        </w:rPr>
        <w:t>alternativa</w:t>
      </w:r>
      <w:r>
        <w:rPr>
          <w:spacing w:val="-10"/>
          <w:sz w:val="19"/>
        </w:rPr>
        <w:t> </w:t>
      </w:r>
      <w:r>
        <w:rPr>
          <w:sz w:val="19"/>
        </w:rPr>
        <w:t>realista para evitar o encerramento das operações.</w:t>
      </w:r>
    </w:p>
    <w:p>
      <w:pPr>
        <w:pStyle w:val="BodyText"/>
        <w:rPr>
          <w:sz w:val="20"/>
        </w:rPr>
      </w:pPr>
    </w:p>
    <w:p>
      <w:pPr>
        <w:pStyle w:val="BodyText"/>
        <w:spacing w:before="142"/>
        <w:rPr>
          <w:sz w:val="20"/>
        </w:rPr>
      </w:pPr>
      <w:r>
        <w:rPr/>
        <mc:AlternateContent>
          <mc:Choice Requires="wps">
            <w:drawing>
              <wp:anchor distT="0" distB="0" distL="0" distR="0" allowOverlap="1" layoutInCell="1" locked="0" behindDoc="1" simplePos="0" relativeHeight="487592960">
                <wp:simplePos x="0" y="0"/>
                <wp:positionH relativeFrom="page">
                  <wp:posOffset>918972</wp:posOffset>
                </wp:positionH>
                <wp:positionV relativeFrom="paragraph">
                  <wp:posOffset>261007</wp:posOffset>
                </wp:positionV>
                <wp:extent cx="5732780" cy="295910"/>
                <wp:effectExtent l="0" t="0" r="0" b="0"/>
                <wp:wrapTopAndBottom/>
                <wp:docPr id="21" name="Textbox 21"/>
                <wp:cNvGraphicFramePr>
                  <a:graphicFrameLocks/>
                </wp:cNvGraphicFramePr>
                <a:graphic>
                  <a:graphicData uri="http://schemas.microsoft.com/office/word/2010/wordprocessingShape">
                    <wps:wsp>
                      <wps:cNvPr id="21" name="Textbox 21"/>
                      <wps:cNvSpPr txBox="1"/>
                      <wps:spPr>
                        <a:xfrm>
                          <a:off x="0" y="0"/>
                          <a:ext cx="5732780" cy="295910"/>
                        </a:xfrm>
                        <a:prstGeom prst="rect">
                          <a:avLst/>
                        </a:prstGeom>
                        <a:solidFill>
                          <a:srgbClr val="004D97"/>
                        </a:solidFill>
                      </wps:spPr>
                      <wps:txbx>
                        <w:txbxContent>
                          <w:p>
                            <w:pPr>
                              <w:spacing w:before="115"/>
                              <w:ind w:left="111" w:right="0" w:firstLine="0"/>
                              <w:jc w:val="left"/>
                              <w:rPr>
                                <w:b/>
                                <w:color w:val="000000"/>
                                <w:sz w:val="19"/>
                              </w:rPr>
                            </w:pPr>
                            <w:r>
                              <w:rPr>
                                <w:b/>
                                <w:color w:val="FFFFFF"/>
                                <w:sz w:val="19"/>
                              </w:rPr>
                              <w:t>Responsabilidades</w:t>
                            </w:r>
                            <w:r>
                              <w:rPr>
                                <w:b/>
                                <w:color w:val="FFFFFF"/>
                                <w:spacing w:val="-9"/>
                                <w:sz w:val="19"/>
                              </w:rPr>
                              <w:t> </w:t>
                            </w:r>
                            <w:r>
                              <w:rPr>
                                <w:b/>
                                <w:color w:val="FFFFFF"/>
                                <w:sz w:val="19"/>
                              </w:rPr>
                              <w:t>dos</w:t>
                            </w:r>
                            <w:r>
                              <w:rPr>
                                <w:b/>
                                <w:color w:val="FFFFFF"/>
                                <w:spacing w:val="-7"/>
                                <w:sz w:val="19"/>
                              </w:rPr>
                              <w:t> </w:t>
                            </w:r>
                            <w:r>
                              <w:rPr>
                                <w:b/>
                                <w:color w:val="FFFFFF"/>
                                <w:sz w:val="19"/>
                              </w:rPr>
                              <w:t>auditores</w:t>
                            </w:r>
                            <w:r>
                              <w:rPr>
                                <w:b/>
                                <w:color w:val="FFFFFF"/>
                                <w:spacing w:val="-8"/>
                                <w:sz w:val="19"/>
                              </w:rPr>
                              <w:t> </w:t>
                            </w:r>
                            <w:r>
                              <w:rPr>
                                <w:b/>
                                <w:color w:val="FFFFFF"/>
                                <w:sz w:val="19"/>
                              </w:rPr>
                              <w:t>pela</w:t>
                            </w:r>
                            <w:r>
                              <w:rPr>
                                <w:b/>
                                <w:color w:val="FFFFFF"/>
                                <w:spacing w:val="-7"/>
                                <w:sz w:val="19"/>
                              </w:rPr>
                              <w:t> </w:t>
                            </w:r>
                            <w:r>
                              <w:rPr>
                                <w:b/>
                                <w:color w:val="FFFFFF"/>
                                <w:sz w:val="19"/>
                              </w:rPr>
                              <w:t>auditoria</w:t>
                            </w:r>
                            <w:r>
                              <w:rPr>
                                <w:b/>
                                <w:color w:val="FFFFFF"/>
                                <w:spacing w:val="-8"/>
                                <w:sz w:val="19"/>
                              </w:rPr>
                              <w:t> </w:t>
                            </w:r>
                            <w:r>
                              <w:rPr>
                                <w:b/>
                                <w:color w:val="FFFFFF"/>
                                <w:sz w:val="19"/>
                              </w:rPr>
                              <w:t>das</w:t>
                            </w:r>
                            <w:r>
                              <w:rPr>
                                <w:b/>
                                <w:color w:val="FFFFFF"/>
                                <w:spacing w:val="-8"/>
                                <w:sz w:val="19"/>
                              </w:rPr>
                              <w:t> </w:t>
                            </w:r>
                            <w:r>
                              <w:rPr>
                                <w:b/>
                                <w:color w:val="FFFFFF"/>
                                <w:sz w:val="19"/>
                              </w:rPr>
                              <w:t>demonstrações</w:t>
                            </w:r>
                            <w:r>
                              <w:rPr>
                                <w:b/>
                                <w:color w:val="FFFFFF"/>
                                <w:spacing w:val="-8"/>
                                <w:sz w:val="19"/>
                              </w:rPr>
                              <w:t> </w:t>
                            </w:r>
                            <w:r>
                              <w:rPr>
                                <w:b/>
                                <w:color w:val="FFFFFF"/>
                                <w:spacing w:val="-2"/>
                                <w:sz w:val="19"/>
                              </w:rPr>
                              <w:t>financeiras</w:t>
                            </w:r>
                          </w:p>
                        </w:txbxContent>
                      </wps:txbx>
                      <wps:bodyPr wrap="square" lIns="0" tIns="0" rIns="0" bIns="0" rtlCol="0">
                        <a:noAutofit/>
                      </wps:bodyPr>
                    </wps:wsp>
                  </a:graphicData>
                </a:graphic>
              </wp:anchor>
            </w:drawing>
          </mc:Choice>
          <mc:Fallback>
            <w:pict>
              <v:shape style="position:absolute;margin-left:72.360001pt;margin-top:20.551748pt;width:451.4pt;height:23.3pt;mso-position-horizontal-relative:page;mso-position-vertical-relative:paragraph;z-index:-15723520;mso-wrap-distance-left:0;mso-wrap-distance-right:0" type="#_x0000_t202" id="docshape19" filled="true" fillcolor="#004d97" stroked="false">
                <v:textbox inset="0,0,0,0">
                  <w:txbxContent>
                    <w:p>
                      <w:pPr>
                        <w:spacing w:before="115"/>
                        <w:ind w:left="111" w:right="0" w:firstLine="0"/>
                        <w:jc w:val="left"/>
                        <w:rPr>
                          <w:b/>
                          <w:color w:val="000000"/>
                          <w:sz w:val="19"/>
                        </w:rPr>
                      </w:pPr>
                      <w:r>
                        <w:rPr>
                          <w:b/>
                          <w:color w:val="FFFFFF"/>
                          <w:sz w:val="19"/>
                        </w:rPr>
                        <w:t>Responsabilidades</w:t>
                      </w:r>
                      <w:r>
                        <w:rPr>
                          <w:b/>
                          <w:color w:val="FFFFFF"/>
                          <w:spacing w:val="-9"/>
                          <w:sz w:val="19"/>
                        </w:rPr>
                        <w:t> </w:t>
                      </w:r>
                      <w:r>
                        <w:rPr>
                          <w:b/>
                          <w:color w:val="FFFFFF"/>
                          <w:sz w:val="19"/>
                        </w:rPr>
                        <w:t>dos</w:t>
                      </w:r>
                      <w:r>
                        <w:rPr>
                          <w:b/>
                          <w:color w:val="FFFFFF"/>
                          <w:spacing w:val="-7"/>
                          <w:sz w:val="19"/>
                        </w:rPr>
                        <w:t> </w:t>
                      </w:r>
                      <w:r>
                        <w:rPr>
                          <w:b/>
                          <w:color w:val="FFFFFF"/>
                          <w:sz w:val="19"/>
                        </w:rPr>
                        <w:t>auditores</w:t>
                      </w:r>
                      <w:r>
                        <w:rPr>
                          <w:b/>
                          <w:color w:val="FFFFFF"/>
                          <w:spacing w:val="-8"/>
                          <w:sz w:val="19"/>
                        </w:rPr>
                        <w:t> </w:t>
                      </w:r>
                      <w:r>
                        <w:rPr>
                          <w:b/>
                          <w:color w:val="FFFFFF"/>
                          <w:sz w:val="19"/>
                        </w:rPr>
                        <w:t>pela</w:t>
                      </w:r>
                      <w:r>
                        <w:rPr>
                          <w:b/>
                          <w:color w:val="FFFFFF"/>
                          <w:spacing w:val="-7"/>
                          <w:sz w:val="19"/>
                        </w:rPr>
                        <w:t> </w:t>
                      </w:r>
                      <w:r>
                        <w:rPr>
                          <w:b/>
                          <w:color w:val="FFFFFF"/>
                          <w:sz w:val="19"/>
                        </w:rPr>
                        <w:t>auditoria</w:t>
                      </w:r>
                      <w:r>
                        <w:rPr>
                          <w:b/>
                          <w:color w:val="FFFFFF"/>
                          <w:spacing w:val="-8"/>
                          <w:sz w:val="19"/>
                        </w:rPr>
                        <w:t> </w:t>
                      </w:r>
                      <w:r>
                        <w:rPr>
                          <w:b/>
                          <w:color w:val="FFFFFF"/>
                          <w:sz w:val="19"/>
                        </w:rPr>
                        <w:t>das</w:t>
                      </w:r>
                      <w:r>
                        <w:rPr>
                          <w:b/>
                          <w:color w:val="FFFFFF"/>
                          <w:spacing w:val="-8"/>
                          <w:sz w:val="19"/>
                        </w:rPr>
                        <w:t> </w:t>
                      </w:r>
                      <w:r>
                        <w:rPr>
                          <w:b/>
                          <w:color w:val="FFFFFF"/>
                          <w:sz w:val="19"/>
                        </w:rPr>
                        <w:t>demonstrações</w:t>
                      </w:r>
                      <w:r>
                        <w:rPr>
                          <w:b/>
                          <w:color w:val="FFFFFF"/>
                          <w:spacing w:val="-8"/>
                          <w:sz w:val="19"/>
                        </w:rPr>
                        <w:t> </w:t>
                      </w:r>
                      <w:r>
                        <w:rPr>
                          <w:b/>
                          <w:color w:val="FFFFFF"/>
                          <w:spacing w:val="-2"/>
                          <w:sz w:val="19"/>
                        </w:rPr>
                        <w:t>financeiras</w:t>
                      </w:r>
                    </w:p>
                  </w:txbxContent>
                </v:textbox>
                <v:fill type="solid"/>
                <w10:wrap type="topAndBottom"/>
              </v:shape>
            </w:pict>
          </mc:Fallback>
        </mc:AlternateContent>
      </w:r>
    </w:p>
    <w:p>
      <w:pPr>
        <w:spacing w:line="247" w:lineRule="auto" w:before="115"/>
        <w:ind w:left="838" w:right="840" w:hanging="1"/>
        <w:jc w:val="both"/>
        <w:rPr>
          <w:sz w:val="19"/>
        </w:rPr>
      </w:pPr>
      <w:r>
        <w:rPr>
          <w:sz w:val="19"/>
        </w:rPr>
        <w:t>Nossos</w:t>
      </w:r>
      <w:r>
        <w:rPr>
          <w:spacing w:val="-2"/>
          <w:sz w:val="19"/>
        </w:rPr>
        <w:t> </w:t>
      </w:r>
      <w:r>
        <w:rPr>
          <w:sz w:val="19"/>
        </w:rPr>
        <w:t>objetivos</w:t>
      </w:r>
      <w:r>
        <w:rPr>
          <w:spacing w:val="-1"/>
          <w:sz w:val="19"/>
        </w:rPr>
        <w:t> </w:t>
      </w:r>
      <w:r>
        <w:rPr>
          <w:sz w:val="19"/>
        </w:rPr>
        <w:t>são</w:t>
      </w:r>
      <w:r>
        <w:rPr>
          <w:spacing w:val="-2"/>
          <w:sz w:val="19"/>
        </w:rPr>
        <w:t> </w:t>
      </w:r>
      <w:r>
        <w:rPr>
          <w:sz w:val="19"/>
        </w:rPr>
        <w:t>obter</w:t>
      </w:r>
      <w:r>
        <w:rPr>
          <w:spacing w:val="-2"/>
          <w:sz w:val="19"/>
        </w:rPr>
        <w:t> </w:t>
      </w:r>
      <w:r>
        <w:rPr>
          <w:sz w:val="19"/>
        </w:rPr>
        <w:t>segurança</w:t>
      </w:r>
      <w:r>
        <w:rPr>
          <w:spacing w:val="-2"/>
          <w:sz w:val="19"/>
        </w:rPr>
        <w:t> </w:t>
      </w:r>
      <w:r>
        <w:rPr>
          <w:sz w:val="19"/>
        </w:rPr>
        <w:t>razoável</w:t>
      </w:r>
      <w:r>
        <w:rPr>
          <w:spacing w:val="-1"/>
          <w:sz w:val="19"/>
        </w:rPr>
        <w:t> </w:t>
      </w:r>
      <w:r>
        <w:rPr>
          <w:sz w:val="19"/>
        </w:rPr>
        <w:t>de</w:t>
      </w:r>
      <w:r>
        <w:rPr>
          <w:spacing w:val="-2"/>
          <w:sz w:val="19"/>
        </w:rPr>
        <w:t> </w:t>
      </w:r>
      <w:r>
        <w:rPr>
          <w:sz w:val="19"/>
        </w:rPr>
        <w:t>que</w:t>
      </w:r>
      <w:r>
        <w:rPr>
          <w:spacing w:val="-2"/>
          <w:sz w:val="19"/>
        </w:rPr>
        <w:t> </w:t>
      </w:r>
      <w:r>
        <w:rPr>
          <w:sz w:val="19"/>
        </w:rPr>
        <w:t>as</w:t>
      </w:r>
      <w:r>
        <w:rPr>
          <w:spacing w:val="-2"/>
          <w:sz w:val="19"/>
        </w:rPr>
        <w:t> </w:t>
      </w:r>
      <w:r>
        <w:rPr>
          <w:sz w:val="19"/>
        </w:rPr>
        <w:t>demonstrações</w:t>
      </w:r>
      <w:r>
        <w:rPr>
          <w:spacing w:val="-2"/>
          <w:sz w:val="19"/>
        </w:rPr>
        <w:t> </w:t>
      </w:r>
      <w:r>
        <w:rPr>
          <w:sz w:val="19"/>
        </w:rPr>
        <w:t>financeiras,</w:t>
      </w:r>
      <w:r>
        <w:rPr>
          <w:spacing w:val="-3"/>
          <w:sz w:val="19"/>
        </w:rPr>
        <w:t> </w:t>
      </w:r>
      <w:r>
        <w:rPr>
          <w:sz w:val="19"/>
        </w:rPr>
        <w:t>tomadas</w:t>
      </w:r>
      <w:r>
        <w:rPr>
          <w:spacing w:val="-1"/>
          <w:sz w:val="19"/>
        </w:rPr>
        <w:t> </w:t>
      </w:r>
      <w:r>
        <w:rPr>
          <w:sz w:val="19"/>
        </w:rPr>
        <w:t>em</w:t>
      </w:r>
      <w:r>
        <w:rPr>
          <w:spacing w:val="-2"/>
          <w:sz w:val="19"/>
        </w:rPr>
        <w:t> </w:t>
      </w:r>
      <w:r>
        <w:rPr>
          <w:sz w:val="19"/>
        </w:rPr>
        <w:t>conjunto,</w:t>
      </w:r>
      <w:r>
        <w:rPr>
          <w:spacing w:val="-3"/>
          <w:sz w:val="19"/>
        </w:rPr>
        <w:t> </w:t>
      </w:r>
      <w:r>
        <w:rPr>
          <w:sz w:val="19"/>
        </w:rPr>
        <w:t>estão livres de distorção relevante, independentemente se causada por fraude ou erro, e emitir relatório de auditoria contendo</w:t>
      </w:r>
      <w:r>
        <w:rPr>
          <w:spacing w:val="-10"/>
          <w:sz w:val="19"/>
        </w:rPr>
        <w:t> </w:t>
      </w:r>
      <w:r>
        <w:rPr>
          <w:sz w:val="19"/>
        </w:rPr>
        <w:t>nossa</w:t>
      </w:r>
      <w:r>
        <w:rPr>
          <w:spacing w:val="-9"/>
          <w:sz w:val="19"/>
        </w:rPr>
        <w:t> </w:t>
      </w:r>
      <w:r>
        <w:rPr>
          <w:sz w:val="19"/>
        </w:rPr>
        <w:t>opinião.</w:t>
      </w:r>
      <w:r>
        <w:rPr>
          <w:spacing w:val="-8"/>
          <w:sz w:val="19"/>
        </w:rPr>
        <w:t> </w:t>
      </w:r>
      <w:r>
        <w:rPr>
          <w:sz w:val="19"/>
        </w:rPr>
        <w:t>Segurança</w:t>
      </w:r>
      <w:r>
        <w:rPr>
          <w:spacing w:val="-6"/>
          <w:sz w:val="19"/>
        </w:rPr>
        <w:t> </w:t>
      </w:r>
      <w:r>
        <w:rPr>
          <w:sz w:val="19"/>
        </w:rPr>
        <w:t>razoável</w:t>
      </w:r>
      <w:r>
        <w:rPr>
          <w:spacing w:val="-10"/>
          <w:sz w:val="19"/>
        </w:rPr>
        <w:t> </w:t>
      </w:r>
      <w:r>
        <w:rPr>
          <w:sz w:val="19"/>
        </w:rPr>
        <w:t>é</w:t>
      </w:r>
      <w:r>
        <w:rPr>
          <w:spacing w:val="-10"/>
          <w:sz w:val="19"/>
        </w:rPr>
        <w:t> </w:t>
      </w:r>
      <w:r>
        <w:rPr>
          <w:sz w:val="19"/>
        </w:rPr>
        <w:t>um</w:t>
      </w:r>
      <w:r>
        <w:rPr>
          <w:spacing w:val="-10"/>
          <w:sz w:val="19"/>
        </w:rPr>
        <w:t> </w:t>
      </w:r>
      <w:r>
        <w:rPr>
          <w:sz w:val="19"/>
        </w:rPr>
        <w:t>alto</w:t>
      </w:r>
      <w:r>
        <w:rPr>
          <w:spacing w:val="-10"/>
          <w:sz w:val="19"/>
        </w:rPr>
        <w:t> </w:t>
      </w:r>
      <w:r>
        <w:rPr>
          <w:sz w:val="19"/>
        </w:rPr>
        <w:t>nível</w:t>
      </w:r>
      <w:r>
        <w:rPr>
          <w:spacing w:val="-10"/>
          <w:sz w:val="19"/>
        </w:rPr>
        <w:t> </w:t>
      </w:r>
      <w:r>
        <w:rPr>
          <w:sz w:val="19"/>
        </w:rPr>
        <w:t>de</w:t>
      </w:r>
      <w:r>
        <w:rPr>
          <w:spacing w:val="-9"/>
          <w:sz w:val="19"/>
        </w:rPr>
        <w:t> </w:t>
      </w:r>
      <w:r>
        <w:rPr>
          <w:sz w:val="19"/>
        </w:rPr>
        <w:t>segurança,</w:t>
      </w:r>
      <w:r>
        <w:rPr>
          <w:spacing w:val="-10"/>
          <w:sz w:val="19"/>
        </w:rPr>
        <w:t> </w:t>
      </w:r>
      <w:r>
        <w:rPr>
          <w:sz w:val="19"/>
        </w:rPr>
        <w:t>mas</w:t>
      </w:r>
      <w:r>
        <w:rPr>
          <w:spacing w:val="-9"/>
          <w:sz w:val="19"/>
        </w:rPr>
        <w:t> </w:t>
      </w:r>
      <w:r>
        <w:rPr>
          <w:sz w:val="19"/>
        </w:rPr>
        <w:t>não</w:t>
      </w:r>
      <w:r>
        <w:rPr>
          <w:spacing w:val="-10"/>
          <w:sz w:val="19"/>
        </w:rPr>
        <w:t> </w:t>
      </w:r>
      <w:r>
        <w:rPr>
          <w:sz w:val="19"/>
        </w:rPr>
        <w:t>uma</w:t>
      </w:r>
      <w:r>
        <w:rPr>
          <w:spacing w:val="-9"/>
          <w:sz w:val="19"/>
        </w:rPr>
        <w:t> </w:t>
      </w:r>
      <w:r>
        <w:rPr>
          <w:sz w:val="19"/>
        </w:rPr>
        <w:t>garantia</w:t>
      </w:r>
      <w:r>
        <w:rPr>
          <w:spacing w:val="-9"/>
          <w:sz w:val="19"/>
        </w:rPr>
        <w:t> </w:t>
      </w:r>
      <w:r>
        <w:rPr>
          <w:sz w:val="19"/>
        </w:rPr>
        <w:t>de</w:t>
      </w:r>
      <w:r>
        <w:rPr>
          <w:spacing w:val="-10"/>
          <w:sz w:val="19"/>
        </w:rPr>
        <w:t> </w:t>
      </w:r>
      <w:r>
        <w:rPr>
          <w:sz w:val="19"/>
        </w:rPr>
        <w:t>que</w:t>
      </w:r>
      <w:r>
        <w:rPr>
          <w:spacing w:val="-10"/>
          <w:sz w:val="19"/>
        </w:rPr>
        <w:t> </w:t>
      </w:r>
      <w:r>
        <w:rPr>
          <w:sz w:val="19"/>
        </w:rPr>
        <w:t>a</w:t>
      </w:r>
      <w:r>
        <w:rPr>
          <w:spacing w:val="-10"/>
          <w:sz w:val="19"/>
        </w:rPr>
        <w:t> </w:t>
      </w:r>
      <w:r>
        <w:rPr>
          <w:sz w:val="19"/>
        </w:rPr>
        <w:t>auditoria realizada de acordo com as normas brasileiras e internacionais de auditoria sempre detectam as eventuais distorções relevantes existentes. As distorções podem ser decorrentes de fraude ou erro e são consideradas relevantes quando, individualmente ou em conjunto, possam influenciar, dentro de uma perspectiva razoável, as</w:t>
      </w:r>
    </w:p>
    <w:p>
      <w:pPr>
        <w:spacing w:after="0" w:line="247" w:lineRule="auto"/>
        <w:jc w:val="both"/>
        <w:rPr>
          <w:sz w:val="19"/>
        </w:rPr>
        <w:sectPr>
          <w:footerReference w:type="default" r:id="rId9"/>
          <w:pgSz w:w="11910" w:h="16840"/>
          <w:pgMar w:header="0" w:footer="1562" w:top="1500" w:bottom="1760" w:left="720" w:right="700"/>
          <w:pgNumType w:start="9"/>
        </w:sectPr>
      </w:pPr>
    </w:p>
    <w:p>
      <w:pPr>
        <w:spacing w:before="33"/>
        <w:ind w:left="840" w:right="0" w:firstLine="0"/>
        <w:jc w:val="both"/>
        <w:rPr>
          <w:sz w:val="19"/>
        </w:rPr>
      </w:pPr>
      <w:r>
        <w:rPr>
          <w:sz w:val="19"/>
        </w:rPr>
        <w:t>decisões</w:t>
      </w:r>
      <w:r>
        <w:rPr>
          <w:spacing w:val="-7"/>
          <w:sz w:val="19"/>
        </w:rPr>
        <w:t> </w:t>
      </w:r>
      <w:r>
        <w:rPr>
          <w:sz w:val="19"/>
        </w:rPr>
        <w:t>econômicas</w:t>
      </w:r>
      <w:r>
        <w:rPr>
          <w:spacing w:val="-7"/>
          <w:sz w:val="19"/>
        </w:rPr>
        <w:t> </w:t>
      </w:r>
      <w:r>
        <w:rPr>
          <w:sz w:val="19"/>
        </w:rPr>
        <w:t>dos</w:t>
      </w:r>
      <w:r>
        <w:rPr>
          <w:spacing w:val="-6"/>
          <w:sz w:val="19"/>
        </w:rPr>
        <w:t> </w:t>
      </w:r>
      <w:r>
        <w:rPr>
          <w:sz w:val="19"/>
        </w:rPr>
        <w:t>usuários</w:t>
      </w:r>
      <w:r>
        <w:rPr>
          <w:spacing w:val="-7"/>
          <w:sz w:val="19"/>
        </w:rPr>
        <w:t> </w:t>
      </w:r>
      <w:r>
        <w:rPr>
          <w:sz w:val="19"/>
        </w:rPr>
        <w:t>tomadas</w:t>
      </w:r>
      <w:r>
        <w:rPr>
          <w:spacing w:val="-6"/>
          <w:sz w:val="19"/>
        </w:rPr>
        <w:t> </w:t>
      </w:r>
      <w:r>
        <w:rPr>
          <w:sz w:val="19"/>
        </w:rPr>
        <w:t>com</w:t>
      </w:r>
      <w:r>
        <w:rPr>
          <w:spacing w:val="-7"/>
          <w:sz w:val="19"/>
        </w:rPr>
        <w:t> </w:t>
      </w:r>
      <w:r>
        <w:rPr>
          <w:sz w:val="19"/>
        </w:rPr>
        <w:t>base</w:t>
      </w:r>
      <w:r>
        <w:rPr>
          <w:spacing w:val="-7"/>
          <w:sz w:val="19"/>
        </w:rPr>
        <w:t> </w:t>
      </w:r>
      <w:r>
        <w:rPr>
          <w:sz w:val="19"/>
        </w:rPr>
        <w:t>nas</w:t>
      </w:r>
      <w:r>
        <w:rPr>
          <w:spacing w:val="-7"/>
          <w:sz w:val="19"/>
        </w:rPr>
        <w:t> </w:t>
      </w:r>
      <w:r>
        <w:rPr>
          <w:sz w:val="19"/>
        </w:rPr>
        <w:t>referidas</w:t>
      </w:r>
      <w:r>
        <w:rPr>
          <w:spacing w:val="-6"/>
          <w:sz w:val="19"/>
        </w:rPr>
        <w:t> </w:t>
      </w:r>
      <w:r>
        <w:rPr>
          <w:sz w:val="19"/>
        </w:rPr>
        <w:t>demonstrações</w:t>
      </w:r>
      <w:r>
        <w:rPr>
          <w:spacing w:val="-7"/>
          <w:sz w:val="19"/>
        </w:rPr>
        <w:t> </w:t>
      </w:r>
      <w:r>
        <w:rPr>
          <w:spacing w:val="-2"/>
          <w:sz w:val="19"/>
        </w:rPr>
        <w:t>financeiras.</w:t>
      </w:r>
    </w:p>
    <w:p>
      <w:pPr>
        <w:spacing w:line="247" w:lineRule="auto" w:before="116"/>
        <w:ind w:left="840" w:right="847" w:firstLine="0"/>
        <w:jc w:val="both"/>
        <w:rPr>
          <w:sz w:val="19"/>
        </w:rPr>
      </w:pPr>
      <w:r>
        <w:rPr>
          <w:sz w:val="19"/>
        </w:rPr>
        <w:t>Como parte da auditoria realizada de acordo com as normas brasileiras e internacionais de auditoria, exercemos julgamento profissional e mantemos ceticismo profissional ao longo da auditoria. Além disso:</w:t>
      </w:r>
    </w:p>
    <w:p>
      <w:pPr>
        <w:pStyle w:val="ListParagraph"/>
        <w:numPr>
          <w:ilvl w:val="0"/>
          <w:numId w:val="3"/>
        </w:numPr>
        <w:tabs>
          <w:tab w:pos="1174" w:val="left" w:leader="none"/>
        </w:tabs>
        <w:spacing w:line="247" w:lineRule="auto" w:before="122" w:after="0"/>
        <w:ind w:left="1174" w:right="841" w:hanging="336"/>
        <w:jc w:val="both"/>
        <w:rPr>
          <w:sz w:val="19"/>
        </w:rPr>
      </w:pPr>
      <w:r>
        <w:rPr>
          <w:sz w:val="19"/>
        </w:rPr>
        <w:t>Identificamos e avaliamos os riscos de distorção relevante nas demonstrações financeiras, independentemente</w:t>
      </w:r>
      <w:r>
        <w:rPr>
          <w:spacing w:val="-9"/>
          <w:sz w:val="19"/>
        </w:rPr>
        <w:t> </w:t>
      </w:r>
      <w:r>
        <w:rPr>
          <w:sz w:val="19"/>
        </w:rPr>
        <w:t>se</w:t>
      </w:r>
      <w:r>
        <w:rPr>
          <w:spacing w:val="-8"/>
          <w:sz w:val="19"/>
        </w:rPr>
        <w:t> </w:t>
      </w:r>
      <w:r>
        <w:rPr>
          <w:sz w:val="19"/>
        </w:rPr>
        <w:t>causada</w:t>
      </w:r>
      <w:r>
        <w:rPr>
          <w:spacing w:val="-6"/>
          <w:sz w:val="19"/>
        </w:rPr>
        <w:t> </w:t>
      </w:r>
      <w:r>
        <w:rPr>
          <w:sz w:val="19"/>
        </w:rPr>
        <w:t>por</w:t>
      </w:r>
      <w:r>
        <w:rPr>
          <w:spacing w:val="-6"/>
          <w:sz w:val="19"/>
        </w:rPr>
        <w:t> </w:t>
      </w:r>
      <w:r>
        <w:rPr>
          <w:sz w:val="19"/>
        </w:rPr>
        <w:t>fraude</w:t>
      </w:r>
      <w:r>
        <w:rPr>
          <w:spacing w:val="-7"/>
          <w:sz w:val="19"/>
        </w:rPr>
        <w:t> </w:t>
      </w:r>
      <w:r>
        <w:rPr>
          <w:sz w:val="19"/>
        </w:rPr>
        <w:t>ou</w:t>
      </w:r>
      <w:r>
        <w:rPr>
          <w:spacing w:val="-6"/>
          <w:sz w:val="19"/>
        </w:rPr>
        <w:t> </w:t>
      </w:r>
      <w:r>
        <w:rPr>
          <w:sz w:val="19"/>
        </w:rPr>
        <w:t>erro,</w:t>
      </w:r>
      <w:r>
        <w:rPr>
          <w:spacing w:val="-10"/>
          <w:sz w:val="19"/>
        </w:rPr>
        <w:t> </w:t>
      </w:r>
      <w:r>
        <w:rPr>
          <w:sz w:val="19"/>
        </w:rPr>
        <w:t>planejamos</w:t>
      </w:r>
      <w:r>
        <w:rPr>
          <w:spacing w:val="-6"/>
          <w:sz w:val="19"/>
        </w:rPr>
        <w:t> </w:t>
      </w:r>
      <w:r>
        <w:rPr>
          <w:sz w:val="19"/>
        </w:rPr>
        <w:t>e</w:t>
      </w:r>
      <w:r>
        <w:rPr>
          <w:spacing w:val="-6"/>
          <w:sz w:val="19"/>
        </w:rPr>
        <w:t> </w:t>
      </w:r>
      <w:r>
        <w:rPr>
          <w:sz w:val="19"/>
        </w:rPr>
        <w:t>executamos</w:t>
      </w:r>
      <w:r>
        <w:rPr>
          <w:spacing w:val="-6"/>
          <w:sz w:val="19"/>
        </w:rPr>
        <w:t> </w:t>
      </w:r>
      <w:r>
        <w:rPr>
          <w:sz w:val="19"/>
        </w:rPr>
        <w:t>procedimentos</w:t>
      </w:r>
      <w:r>
        <w:rPr>
          <w:spacing w:val="-10"/>
          <w:sz w:val="19"/>
        </w:rPr>
        <w:t> </w:t>
      </w:r>
      <w:r>
        <w:rPr>
          <w:sz w:val="19"/>
        </w:rPr>
        <w:t>de</w:t>
      </w:r>
      <w:r>
        <w:rPr>
          <w:spacing w:val="-8"/>
          <w:sz w:val="19"/>
        </w:rPr>
        <w:t> </w:t>
      </w:r>
      <w:r>
        <w:rPr>
          <w:sz w:val="19"/>
        </w:rPr>
        <w:t>auditoria</w:t>
      </w:r>
      <w:r>
        <w:rPr>
          <w:spacing w:val="-6"/>
          <w:sz w:val="19"/>
        </w:rPr>
        <w:t> </w:t>
      </w:r>
      <w:r>
        <w:rPr>
          <w:sz w:val="19"/>
        </w:rPr>
        <w:t>em resposta a tais riscos, bem como obtemos evidência de auditoria apropriada e suficiente para fundamentar nossa opinião. O risco de não detecção de distorção relevante resultante de fraude é maior do que o proveniente</w:t>
      </w:r>
      <w:r>
        <w:rPr>
          <w:spacing w:val="-3"/>
          <w:sz w:val="19"/>
        </w:rPr>
        <w:t> </w:t>
      </w:r>
      <w:r>
        <w:rPr>
          <w:sz w:val="19"/>
        </w:rPr>
        <w:t>de</w:t>
      </w:r>
      <w:r>
        <w:rPr>
          <w:spacing w:val="-1"/>
          <w:sz w:val="19"/>
        </w:rPr>
        <w:t> </w:t>
      </w:r>
      <w:r>
        <w:rPr>
          <w:sz w:val="19"/>
        </w:rPr>
        <w:t>erro,</w:t>
      </w:r>
      <w:r>
        <w:rPr>
          <w:spacing w:val="-3"/>
          <w:sz w:val="19"/>
        </w:rPr>
        <w:t> </w:t>
      </w:r>
      <w:r>
        <w:rPr>
          <w:sz w:val="19"/>
        </w:rPr>
        <w:t>já</w:t>
      </w:r>
      <w:r>
        <w:rPr>
          <w:spacing w:val="-2"/>
          <w:sz w:val="19"/>
        </w:rPr>
        <w:t> </w:t>
      </w:r>
      <w:r>
        <w:rPr>
          <w:sz w:val="19"/>
        </w:rPr>
        <w:t>que</w:t>
      </w:r>
      <w:r>
        <w:rPr>
          <w:spacing w:val="-2"/>
          <w:sz w:val="19"/>
        </w:rPr>
        <w:t> </w:t>
      </w:r>
      <w:r>
        <w:rPr>
          <w:sz w:val="19"/>
        </w:rPr>
        <w:t>a</w:t>
      </w:r>
      <w:r>
        <w:rPr>
          <w:spacing w:val="-2"/>
          <w:sz w:val="19"/>
        </w:rPr>
        <w:t> </w:t>
      </w:r>
      <w:r>
        <w:rPr>
          <w:sz w:val="19"/>
        </w:rPr>
        <w:t>fraude</w:t>
      </w:r>
      <w:r>
        <w:rPr>
          <w:spacing w:val="-2"/>
          <w:sz w:val="19"/>
        </w:rPr>
        <w:t> </w:t>
      </w:r>
      <w:r>
        <w:rPr>
          <w:sz w:val="19"/>
        </w:rPr>
        <w:t>pode</w:t>
      </w:r>
      <w:r>
        <w:rPr>
          <w:spacing w:val="-2"/>
          <w:sz w:val="19"/>
        </w:rPr>
        <w:t> </w:t>
      </w:r>
      <w:r>
        <w:rPr>
          <w:sz w:val="19"/>
        </w:rPr>
        <w:t>envolver</w:t>
      </w:r>
      <w:r>
        <w:rPr>
          <w:spacing w:val="-2"/>
          <w:sz w:val="19"/>
        </w:rPr>
        <w:t> </w:t>
      </w:r>
      <w:r>
        <w:rPr>
          <w:sz w:val="19"/>
        </w:rPr>
        <w:t>o</w:t>
      </w:r>
      <w:r>
        <w:rPr>
          <w:spacing w:val="-3"/>
          <w:sz w:val="19"/>
        </w:rPr>
        <w:t> </w:t>
      </w:r>
      <w:r>
        <w:rPr>
          <w:sz w:val="19"/>
        </w:rPr>
        <w:t>ato</w:t>
      </w:r>
      <w:r>
        <w:rPr>
          <w:spacing w:val="-1"/>
          <w:sz w:val="19"/>
        </w:rPr>
        <w:t> </w:t>
      </w:r>
      <w:r>
        <w:rPr>
          <w:sz w:val="19"/>
        </w:rPr>
        <w:t>de</w:t>
      </w:r>
      <w:r>
        <w:rPr>
          <w:spacing w:val="-2"/>
          <w:sz w:val="19"/>
        </w:rPr>
        <w:t> </w:t>
      </w:r>
      <w:r>
        <w:rPr>
          <w:sz w:val="19"/>
        </w:rPr>
        <w:t>burlar</w:t>
      </w:r>
      <w:r>
        <w:rPr>
          <w:spacing w:val="-2"/>
          <w:sz w:val="19"/>
        </w:rPr>
        <w:t> </w:t>
      </w:r>
      <w:r>
        <w:rPr>
          <w:sz w:val="19"/>
        </w:rPr>
        <w:t>os</w:t>
      </w:r>
      <w:r>
        <w:rPr>
          <w:spacing w:val="-2"/>
          <w:sz w:val="19"/>
        </w:rPr>
        <w:t> </w:t>
      </w:r>
      <w:r>
        <w:rPr>
          <w:sz w:val="19"/>
        </w:rPr>
        <w:t>controles</w:t>
      </w:r>
      <w:r>
        <w:rPr>
          <w:spacing w:val="-2"/>
          <w:sz w:val="19"/>
        </w:rPr>
        <w:t> </w:t>
      </w:r>
      <w:r>
        <w:rPr>
          <w:sz w:val="19"/>
        </w:rPr>
        <w:t>internos,</w:t>
      </w:r>
      <w:r>
        <w:rPr>
          <w:spacing w:val="-2"/>
          <w:sz w:val="19"/>
        </w:rPr>
        <w:t> </w:t>
      </w:r>
      <w:r>
        <w:rPr>
          <w:sz w:val="19"/>
        </w:rPr>
        <w:t>conluio,</w:t>
      </w:r>
      <w:r>
        <w:rPr>
          <w:spacing w:val="-3"/>
          <w:sz w:val="19"/>
        </w:rPr>
        <w:t> </w:t>
      </w:r>
      <w:r>
        <w:rPr>
          <w:sz w:val="19"/>
        </w:rPr>
        <w:t>falsificação, omissão ou representações falsas intencionais.</w:t>
      </w:r>
    </w:p>
    <w:p>
      <w:pPr>
        <w:pStyle w:val="ListParagraph"/>
        <w:numPr>
          <w:ilvl w:val="0"/>
          <w:numId w:val="3"/>
        </w:numPr>
        <w:tabs>
          <w:tab w:pos="1172" w:val="left" w:leader="none"/>
          <w:tab w:pos="1174" w:val="left" w:leader="none"/>
        </w:tabs>
        <w:spacing w:line="247" w:lineRule="auto" w:before="126" w:after="0"/>
        <w:ind w:left="1174" w:right="839" w:hanging="337"/>
        <w:jc w:val="both"/>
        <w:rPr>
          <w:sz w:val="19"/>
        </w:rPr>
      </w:pPr>
      <w:r>
        <w:rPr>
          <w:sz w:val="19"/>
        </w:rPr>
        <w:t>Obtemos entendimento dos controles internos relevantes para a auditoria para planejarmos procedimentos de</w:t>
      </w:r>
      <w:r>
        <w:rPr>
          <w:spacing w:val="-4"/>
          <w:sz w:val="19"/>
        </w:rPr>
        <w:t> </w:t>
      </w:r>
      <w:r>
        <w:rPr>
          <w:sz w:val="19"/>
        </w:rPr>
        <w:t>auditoria</w:t>
      </w:r>
      <w:r>
        <w:rPr>
          <w:spacing w:val="-3"/>
          <w:sz w:val="19"/>
        </w:rPr>
        <w:t> </w:t>
      </w:r>
      <w:r>
        <w:rPr>
          <w:sz w:val="19"/>
        </w:rPr>
        <w:t>apropriados</w:t>
      </w:r>
      <w:r>
        <w:rPr>
          <w:spacing w:val="-3"/>
          <w:sz w:val="19"/>
        </w:rPr>
        <w:t> </w:t>
      </w:r>
      <w:r>
        <w:rPr>
          <w:sz w:val="19"/>
        </w:rPr>
        <w:t>às</w:t>
      </w:r>
      <w:r>
        <w:rPr>
          <w:spacing w:val="-3"/>
          <w:sz w:val="19"/>
        </w:rPr>
        <w:t> </w:t>
      </w:r>
      <w:r>
        <w:rPr>
          <w:sz w:val="19"/>
        </w:rPr>
        <w:t>circunstâncias,</w:t>
      </w:r>
      <w:r>
        <w:rPr>
          <w:spacing w:val="-5"/>
          <w:sz w:val="19"/>
        </w:rPr>
        <w:t> </w:t>
      </w:r>
      <w:r>
        <w:rPr>
          <w:sz w:val="19"/>
        </w:rPr>
        <w:t>mas,</w:t>
      </w:r>
      <w:r>
        <w:rPr>
          <w:spacing w:val="-4"/>
          <w:sz w:val="19"/>
        </w:rPr>
        <w:t> </w:t>
      </w:r>
      <w:r>
        <w:rPr>
          <w:sz w:val="19"/>
        </w:rPr>
        <w:t>não,</w:t>
      </w:r>
      <w:r>
        <w:rPr>
          <w:spacing w:val="-4"/>
          <w:sz w:val="19"/>
        </w:rPr>
        <w:t> </w:t>
      </w:r>
      <w:r>
        <w:rPr>
          <w:sz w:val="19"/>
        </w:rPr>
        <w:t>com</w:t>
      </w:r>
      <w:r>
        <w:rPr>
          <w:spacing w:val="-4"/>
          <w:sz w:val="19"/>
        </w:rPr>
        <w:t> </w:t>
      </w:r>
      <w:r>
        <w:rPr>
          <w:sz w:val="19"/>
        </w:rPr>
        <w:t>o</w:t>
      </w:r>
      <w:r>
        <w:rPr>
          <w:spacing w:val="-3"/>
          <w:sz w:val="19"/>
        </w:rPr>
        <w:t> </w:t>
      </w:r>
      <w:r>
        <w:rPr>
          <w:sz w:val="19"/>
        </w:rPr>
        <w:t>objetivo</w:t>
      </w:r>
      <w:r>
        <w:rPr>
          <w:spacing w:val="-4"/>
          <w:sz w:val="19"/>
        </w:rPr>
        <w:t> </w:t>
      </w:r>
      <w:r>
        <w:rPr>
          <w:sz w:val="19"/>
        </w:rPr>
        <w:t>de</w:t>
      </w:r>
      <w:r>
        <w:rPr>
          <w:spacing w:val="-4"/>
          <w:sz w:val="19"/>
        </w:rPr>
        <w:t> </w:t>
      </w:r>
      <w:r>
        <w:rPr>
          <w:sz w:val="19"/>
        </w:rPr>
        <w:t>expressarmos</w:t>
      </w:r>
      <w:r>
        <w:rPr>
          <w:spacing w:val="-2"/>
          <w:sz w:val="19"/>
        </w:rPr>
        <w:t> </w:t>
      </w:r>
      <w:r>
        <w:rPr>
          <w:sz w:val="19"/>
        </w:rPr>
        <w:t>opinião</w:t>
      </w:r>
      <w:r>
        <w:rPr>
          <w:spacing w:val="-6"/>
          <w:sz w:val="19"/>
        </w:rPr>
        <w:t> </w:t>
      </w:r>
      <w:r>
        <w:rPr>
          <w:sz w:val="19"/>
        </w:rPr>
        <w:t>sobre</w:t>
      </w:r>
      <w:r>
        <w:rPr>
          <w:spacing w:val="-3"/>
          <w:sz w:val="19"/>
        </w:rPr>
        <w:t> </w:t>
      </w:r>
      <w:r>
        <w:rPr>
          <w:sz w:val="19"/>
        </w:rPr>
        <w:t>a</w:t>
      </w:r>
      <w:r>
        <w:rPr>
          <w:spacing w:val="-3"/>
          <w:sz w:val="19"/>
        </w:rPr>
        <w:t> </w:t>
      </w:r>
      <w:r>
        <w:rPr>
          <w:sz w:val="19"/>
        </w:rPr>
        <w:t>eficácia dos controles internos da Companhia.</w:t>
      </w:r>
    </w:p>
    <w:p>
      <w:pPr>
        <w:pStyle w:val="ListParagraph"/>
        <w:numPr>
          <w:ilvl w:val="0"/>
          <w:numId w:val="3"/>
        </w:numPr>
        <w:tabs>
          <w:tab w:pos="1174" w:val="left" w:leader="none"/>
        </w:tabs>
        <w:spacing w:line="247" w:lineRule="auto" w:before="122" w:after="0"/>
        <w:ind w:left="1174" w:right="846" w:hanging="336"/>
        <w:jc w:val="both"/>
        <w:rPr>
          <w:sz w:val="19"/>
        </w:rPr>
      </w:pPr>
      <w:r>
        <w:rPr>
          <w:sz w:val="19"/>
        </w:rPr>
        <w:t>Avaliamos a adequação das políticas contábeis utilizadas e a razoabilidade das estimativas contábeis e respectivas divulgações feitas pela administração.</w:t>
      </w:r>
    </w:p>
    <w:p>
      <w:pPr>
        <w:pStyle w:val="ListParagraph"/>
        <w:numPr>
          <w:ilvl w:val="0"/>
          <w:numId w:val="3"/>
        </w:numPr>
        <w:tabs>
          <w:tab w:pos="1174" w:val="left" w:leader="none"/>
        </w:tabs>
        <w:spacing w:line="247" w:lineRule="auto" w:before="122" w:after="0"/>
        <w:ind w:left="1174" w:right="833" w:hanging="336"/>
        <w:jc w:val="both"/>
        <w:rPr>
          <w:sz w:val="19"/>
        </w:rPr>
      </w:pPr>
      <w:r>
        <w:rPr>
          <w:sz w:val="19"/>
        </w:rPr>
        <w:t>Concluímos sobre a adequação do uso, pela administração, da base contábil de continuidade operacional e, com</w:t>
      </w:r>
      <w:r>
        <w:rPr>
          <w:spacing w:val="-6"/>
          <w:sz w:val="19"/>
        </w:rPr>
        <w:t> </w:t>
      </w:r>
      <w:r>
        <w:rPr>
          <w:sz w:val="19"/>
        </w:rPr>
        <w:t>base</w:t>
      </w:r>
      <w:r>
        <w:rPr>
          <w:spacing w:val="-4"/>
          <w:sz w:val="19"/>
        </w:rPr>
        <w:t> </w:t>
      </w:r>
      <w:r>
        <w:rPr>
          <w:sz w:val="19"/>
        </w:rPr>
        <w:t>nas</w:t>
      </w:r>
      <w:r>
        <w:rPr>
          <w:spacing w:val="-7"/>
          <w:sz w:val="19"/>
        </w:rPr>
        <w:t> </w:t>
      </w:r>
      <w:r>
        <w:rPr>
          <w:sz w:val="19"/>
        </w:rPr>
        <w:t>evidências</w:t>
      </w:r>
      <w:r>
        <w:rPr>
          <w:spacing w:val="-3"/>
          <w:sz w:val="19"/>
        </w:rPr>
        <w:t> </w:t>
      </w:r>
      <w:r>
        <w:rPr>
          <w:sz w:val="19"/>
        </w:rPr>
        <w:t>de</w:t>
      </w:r>
      <w:r>
        <w:rPr>
          <w:spacing w:val="-8"/>
          <w:sz w:val="19"/>
        </w:rPr>
        <w:t> </w:t>
      </w:r>
      <w:r>
        <w:rPr>
          <w:sz w:val="19"/>
        </w:rPr>
        <w:t>auditoria</w:t>
      </w:r>
      <w:r>
        <w:rPr>
          <w:spacing w:val="-7"/>
          <w:sz w:val="19"/>
        </w:rPr>
        <w:t> </w:t>
      </w:r>
      <w:r>
        <w:rPr>
          <w:sz w:val="19"/>
        </w:rPr>
        <w:t>obtidas,</w:t>
      </w:r>
      <w:r>
        <w:rPr>
          <w:spacing w:val="-7"/>
          <w:sz w:val="19"/>
        </w:rPr>
        <w:t> </w:t>
      </w:r>
      <w:r>
        <w:rPr>
          <w:sz w:val="19"/>
        </w:rPr>
        <w:t>se</w:t>
      </w:r>
      <w:r>
        <w:rPr>
          <w:spacing w:val="-4"/>
          <w:sz w:val="19"/>
        </w:rPr>
        <w:t> </w:t>
      </w:r>
      <w:r>
        <w:rPr>
          <w:sz w:val="19"/>
        </w:rPr>
        <w:t>existe</w:t>
      </w:r>
      <w:r>
        <w:rPr>
          <w:spacing w:val="-6"/>
          <w:sz w:val="19"/>
        </w:rPr>
        <w:t> </w:t>
      </w:r>
      <w:r>
        <w:rPr>
          <w:sz w:val="19"/>
        </w:rPr>
        <w:t>incerteza</w:t>
      </w:r>
      <w:r>
        <w:rPr>
          <w:spacing w:val="-4"/>
          <w:sz w:val="19"/>
        </w:rPr>
        <w:t> </w:t>
      </w:r>
      <w:r>
        <w:rPr>
          <w:sz w:val="19"/>
        </w:rPr>
        <w:t>relevante</w:t>
      </w:r>
      <w:r>
        <w:rPr>
          <w:spacing w:val="-5"/>
          <w:sz w:val="19"/>
        </w:rPr>
        <w:t> </w:t>
      </w:r>
      <w:r>
        <w:rPr>
          <w:sz w:val="19"/>
        </w:rPr>
        <w:t>em</w:t>
      </w:r>
      <w:r>
        <w:rPr>
          <w:spacing w:val="-8"/>
          <w:sz w:val="19"/>
        </w:rPr>
        <w:t> </w:t>
      </w:r>
      <w:r>
        <w:rPr>
          <w:sz w:val="19"/>
        </w:rPr>
        <w:t>relação</w:t>
      </w:r>
      <w:r>
        <w:rPr>
          <w:spacing w:val="-3"/>
          <w:sz w:val="19"/>
        </w:rPr>
        <w:t> </w:t>
      </w:r>
      <w:r>
        <w:rPr>
          <w:sz w:val="19"/>
        </w:rPr>
        <w:t>a</w:t>
      </w:r>
      <w:r>
        <w:rPr>
          <w:spacing w:val="-3"/>
          <w:sz w:val="19"/>
        </w:rPr>
        <w:t> </w:t>
      </w:r>
      <w:r>
        <w:rPr>
          <w:sz w:val="19"/>
        </w:rPr>
        <w:t>eventos</w:t>
      </w:r>
      <w:r>
        <w:rPr>
          <w:spacing w:val="-4"/>
          <w:sz w:val="19"/>
        </w:rPr>
        <w:t> </w:t>
      </w:r>
      <w:r>
        <w:rPr>
          <w:sz w:val="19"/>
        </w:rPr>
        <w:t>ou</w:t>
      </w:r>
      <w:r>
        <w:rPr>
          <w:spacing w:val="-3"/>
          <w:sz w:val="19"/>
        </w:rPr>
        <w:t> </w:t>
      </w:r>
      <w:r>
        <w:rPr>
          <w:sz w:val="19"/>
        </w:rPr>
        <w:t>condições que</w:t>
      </w:r>
      <w:r>
        <w:rPr>
          <w:spacing w:val="-8"/>
          <w:sz w:val="19"/>
        </w:rPr>
        <w:t> </w:t>
      </w:r>
      <w:r>
        <w:rPr>
          <w:sz w:val="19"/>
        </w:rPr>
        <w:t>possam</w:t>
      </w:r>
      <w:r>
        <w:rPr>
          <w:spacing w:val="-6"/>
          <w:sz w:val="19"/>
        </w:rPr>
        <w:t> </w:t>
      </w:r>
      <w:r>
        <w:rPr>
          <w:sz w:val="19"/>
        </w:rPr>
        <w:t>levantar</w:t>
      </w:r>
      <w:r>
        <w:rPr>
          <w:spacing w:val="-7"/>
          <w:sz w:val="19"/>
        </w:rPr>
        <w:t> </w:t>
      </w:r>
      <w:r>
        <w:rPr>
          <w:sz w:val="19"/>
        </w:rPr>
        <w:t>dúvida</w:t>
      </w:r>
      <w:r>
        <w:rPr>
          <w:spacing w:val="-5"/>
          <w:sz w:val="19"/>
        </w:rPr>
        <w:t> </w:t>
      </w:r>
      <w:r>
        <w:rPr>
          <w:sz w:val="19"/>
        </w:rPr>
        <w:t>significativa</w:t>
      </w:r>
      <w:r>
        <w:rPr>
          <w:spacing w:val="-5"/>
          <w:sz w:val="19"/>
        </w:rPr>
        <w:t> </w:t>
      </w:r>
      <w:r>
        <w:rPr>
          <w:sz w:val="19"/>
        </w:rPr>
        <w:t>em</w:t>
      </w:r>
      <w:r>
        <w:rPr>
          <w:spacing w:val="-5"/>
          <w:sz w:val="19"/>
        </w:rPr>
        <w:t> </w:t>
      </w:r>
      <w:r>
        <w:rPr>
          <w:sz w:val="19"/>
        </w:rPr>
        <w:t>relação</w:t>
      </w:r>
      <w:r>
        <w:rPr>
          <w:spacing w:val="-6"/>
          <w:sz w:val="19"/>
        </w:rPr>
        <w:t> </w:t>
      </w:r>
      <w:r>
        <w:rPr>
          <w:sz w:val="19"/>
        </w:rPr>
        <w:t>à</w:t>
      </w:r>
      <w:r>
        <w:rPr>
          <w:spacing w:val="-5"/>
          <w:sz w:val="19"/>
        </w:rPr>
        <w:t> </w:t>
      </w:r>
      <w:r>
        <w:rPr>
          <w:sz w:val="19"/>
        </w:rPr>
        <w:t>capacidade</w:t>
      </w:r>
      <w:r>
        <w:rPr>
          <w:spacing w:val="-7"/>
          <w:sz w:val="19"/>
        </w:rPr>
        <w:t> </w:t>
      </w:r>
      <w:r>
        <w:rPr>
          <w:sz w:val="19"/>
        </w:rPr>
        <w:t>de</w:t>
      </w:r>
      <w:r>
        <w:rPr>
          <w:spacing w:val="-7"/>
          <w:sz w:val="19"/>
        </w:rPr>
        <w:t> </w:t>
      </w:r>
      <w:r>
        <w:rPr>
          <w:sz w:val="19"/>
        </w:rPr>
        <w:t>continuidade</w:t>
      </w:r>
      <w:r>
        <w:rPr>
          <w:spacing w:val="-8"/>
          <w:sz w:val="19"/>
        </w:rPr>
        <w:t> </w:t>
      </w:r>
      <w:r>
        <w:rPr>
          <w:sz w:val="19"/>
        </w:rPr>
        <w:t>operacional</w:t>
      </w:r>
      <w:r>
        <w:rPr>
          <w:spacing w:val="-8"/>
          <w:sz w:val="19"/>
        </w:rPr>
        <w:t> </w:t>
      </w:r>
      <w:r>
        <w:rPr>
          <w:sz w:val="19"/>
        </w:rPr>
        <w:t>da</w:t>
      </w:r>
      <w:r>
        <w:rPr>
          <w:spacing w:val="-5"/>
          <w:sz w:val="19"/>
        </w:rPr>
        <w:t> </w:t>
      </w:r>
      <w:r>
        <w:rPr>
          <w:sz w:val="19"/>
        </w:rPr>
        <w:t>Companhia. Se</w:t>
      </w:r>
      <w:r>
        <w:rPr>
          <w:spacing w:val="-2"/>
          <w:sz w:val="19"/>
        </w:rPr>
        <w:t> </w:t>
      </w:r>
      <w:r>
        <w:rPr>
          <w:sz w:val="19"/>
        </w:rPr>
        <w:t>concluirmos</w:t>
      </w:r>
      <w:r>
        <w:rPr>
          <w:spacing w:val="-1"/>
          <w:sz w:val="19"/>
        </w:rPr>
        <w:t> </w:t>
      </w:r>
      <w:r>
        <w:rPr>
          <w:sz w:val="19"/>
        </w:rPr>
        <w:t>que</w:t>
      </w:r>
      <w:r>
        <w:rPr>
          <w:spacing w:val="-2"/>
          <w:sz w:val="19"/>
        </w:rPr>
        <w:t> </w:t>
      </w:r>
      <w:r>
        <w:rPr>
          <w:sz w:val="19"/>
        </w:rPr>
        <w:t>existe</w:t>
      </w:r>
      <w:r>
        <w:rPr>
          <w:spacing w:val="-2"/>
          <w:sz w:val="19"/>
        </w:rPr>
        <w:t> </w:t>
      </w:r>
      <w:r>
        <w:rPr>
          <w:sz w:val="19"/>
        </w:rPr>
        <w:t>incerteza</w:t>
      </w:r>
      <w:r>
        <w:rPr>
          <w:spacing w:val="-2"/>
          <w:sz w:val="19"/>
        </w:rPr>
        <w:t> </w:t>
      </w:r>
      <w:r>
        <w:rPr>
          <w:sz w:val="19"/>
        </w:rPr>
        <w:t>relevante,</w:t>
      </w:r>
      <w:r>
        <w:rPr>
          <w:spacing w:val="-3"/>
          <w:sz w:val="19"/>
        </w:rPr>
        <w:t> </w:t>
      </w:r>
      <w:r>
        <w:rPr>
          <w:sz w:val="19"/>
        </w:rPr>
        <w:t>devemos</w:t>
      </w:r>
      <w:r>
        <w:rPr>
          <w:spacing w:val="-2"/>
          <w:sz w:val="19"/>
        </w:rPr>
        <w:t> </w:t>
      </w:r>
      <w:r>
        <w:rPr>
          <w:sz w:val="19"/>
        </w:rPr>
        <w:t>chamar</w:t>
      </w:r>
      <w:r>
        <w:rPr>
          <w:spacing w:val="-2"/>
          <w:sz w:val="19"/>
        </w:rPr>
        <w:t> </w:t>
      </w:r>
      <w:r>
        <w:rPr>
          <w:sz w:val="19"/>
        </w:rPr>
        <w:t>atenção</w:t>
      </w:r>
      <w:r>
        <w:rPr>
          <w:spacing w:val="-2"/>
          <w:sz w:val="19"/>
        </w:rPr>
        <w:t> </w:t>
      </w:r>
      <w:r>
        <w:rPr>
          <w:sz w:val="19"/>
        </w:rPr>
        <w:t>em</w:t>
      </w:r>
      <w:r>
        <w:rPr>
          <w:spacing w:val="-2"/>
          <w:sz w:val="19"/>
        </w:rPr>
        <w:t> </w:t>
      </w:r>
      <w:r>
        <w:rPr>
          <w:sz w:val="19"/>
        </w:rPr>
        <w:t>nosso</w:t>
      </w:r>
      <w:r>
        <w:rPr>
          <w:spacing w:val="-3"/>
          <w:sz w:val="19"/>
        </w:rPr>
        <w:t> </w:t>
      </w:r>
      <w:r>
        <w:rPr>
          <w:sz w:val="19"/>
        </w:rPr>
        <w:t>relatório</w:t>
      </w:r>
      <w:r>
        <w:rPr>
          <w:spacing w:val="-1"/>
          <w:sz w:val="19"/>
        </w:rPr>
        <w:t> </w:t>
      </w:r>
      <w:r>
        <w:rPr>
          <w:sz w:val="19"/>
        </w:rPr>
        <w:t>de</w:t>
      </w:r>
      <w:r>
        <w:rPr>
          <w:spacing w:val="-2"/>
          <w:sz w:val="19"/>
        </w:rPr>
        <w:t> </w:t>
      </w:r>
      <w:r>
        <w:rPr>
          <w:sz w:val="19"/>
        </w:rPr>
        <w:t>auditoria</w:t>
      </w:r>
      <w:r>
        <w:rPr>
          <w:spacing w:val="-2"/>
          <w:sz w:val="19"/>
        </w:rPr>
        <w:t> </w:t>
      </w:r>
      <w:r>
        <w:rPr>
          <w:sz w:val="19"/>
        </w:rPr>
        <w:t>para as respectivas divulgações nas demonstrações financeiras ou incluir modificação em nossa opinião, se as divulgações forem</w:t>
      </w:r>
      <w:r>
        <w:rPr>
          <w:spacing w:val="-1"/>
          <w:sz w:val="19"/>
        </w:rPr>
        <w:t> </w:t>
      </w:r>
      <w:r>
        <w:rPr>
          <w:sz w:val="19"/>
        </w:rPr>
        <w:t>inadequadas. Nossas conclusões</w:t>
      </w:r>
      <w:r>
        <w:rPr>
          <w:spacing w:val="-1"/>
          <w:sz w:val="19"/>
        </w:rPr>
        <w:t> </w:t>
      </w:r>
      <w:r>
        <w:rPr>
          <w:sz w:val="19"/>
        </w:rPr>
        <w:t>estão</w:t>
      </w:r>
      <w:r>
        <w:rPr>
          <w:spacing w:val="-1"/>
          <w:sz w:val="19"/>
        </w:rPr>
        <w:t> </w:t>
      </w:r>
      <w:r>
        <w:rPr>
          <w:sz w:val="19"/>
        </w:rPr>
        <w:t>fundamentadas nas evidências de</w:t>
      </w:r>
      <w:r>
        <w:rPr>
          <w:spacing w:val="-1"/>
          <w:sz w:val="19"/>
        </w:rPr>
        <w:t> </w:t>
      </w:r>
      <w:r>
        <w:rPr>
          <w:sz w:val="19"/>
        </w:rPr>
        <w:t>auditoria</w:t>
      </w:r>
      <w:r>
        <w:rPr>
          <w:spacing w:val="-1"/>
          <w:sz w:val="19"/>
        </w:rPr>
        <w:t> </w:t>
      </w:r>
      <w:r>
        <w:rPr>
          <w:sz w:val="19"/>
        </w:rPr>
        <w:t>obtidas até a data de nosso relatório. Todavia, eventos ou condições futuras podem levar a Companhia a não mais se manter em continuidade operacional.</w:t>
      </w:r>
    </w:p>
    <w:p>
      <w:pPr>
        <w:pStyle w:val="ListParagraph"/>
        <w:numPr>
          <w:ilvl w:val="0"/>
          <w:numId w:val="3"/>
        </w:numPr>
        <w:tabs>
          <w:tab w:pos="1174" w:val="left" w:leader="none"/>
        </w:tabs>
        <w:spacing w:line="247" w:lineRule="auto" w:before="128" w:after="0"/>
        <w:ind w:left="1174" w:right="843" w:hanging="336"/>
        <w:jc w:val="both"/>
        <w:rPr>
          <w:sz w:val="19"/>
        </w:rPr>
      </w:pPr>
      <w:r>
        <w:rPr>
          <w:sz w:val="19"/>
        </w:rPr>
        <w:t>Avaliamos a apresentação geral, a estrutura e o conteúdo das demonstrações financeiras, inclusive as divulgações e se as demonstrações financeiras representam as correspondentes transações e os eventos de maneira compatível com o objetivo de apresentação adequada.</w:t>
      </w:r>
    </w:p>
    <w:p>
      <w:pPr>
        <w:spacing w:line="247" w:lineRule="auto" w:before="122"/>
        <w:ind w:left="838" w:right="845" w:firstLine="0"/>
        <w:jc w:val="both"/>
        <w:rPr>
          <w:sz w:val="19"/>
        </w:rPr>
      </w:pPr>
      <w:r>
        <w:rPr>
          <w:sz w:val="19"/>
        </w:rPr>
        <w:t>Comunicamo‐nos com a Administração a respeito, entre outros aspectos, do alcance planejado, da época da auditoria e das constatações significativas de auditoria, inclusive as eventuais deficiências significativas nos controles internos que identificamos durante nossos trabalhos.</w:t>
      </w:r>
    </w:p>
    <w:p>
      <w:pPr>
        <w:pStyle w:val="BodyText"/>
        <w:spacing w:before="86"/>
        <w:rPr>
          <w:sz w:val="19"/>
        </w:rPr>
      </w:pPr>
    </w:p>
    <w:p>
      <w:pPr>
        <w:spacing w:before="1"/>
        <w:ind w:left="839" w:right="0" w:firstLine="0"/>
        <w:jc w:val="both"/>
        <w:rPr>
          <w:sz w:val="19"/>
        </w:rPr>
      </w:pPr>
      <w:r>
        <w:rPr>
          <w:sz w:val="19"/>
        </w:rPr>
        <w:t>Rio</w:t>
      </w:r>
      <w:r>
        <w:rPr>
          <w:spacing w:val="-4"/>
          <w:sz w:val="19"/>
        </w:rPr>
        <w:t> </w:t>
      </w:r>
      <w:r>
        <w:rPr>
          <w:sz w:val="19"/>
        </w:rPr>
        <w:t>de</w:t>
      </w:r>
      <w:r>
        <w:rPr>
          <w:spacing w:val="-4"/>
          <w:sz w:val="19"/>
        </w:rPr>
        <w:t> </w:t>
      </w:r>
      <w:r>
        <w:rPr>
          <w:sz w:val="19"/>
        </w:rPr>
        <w:t>Janeiro,</w:t>
      </w:r>
      <w:r>
        <w:rPr>
          <w:spacing w:val="-4"/>
          <w:sz w:val="19"/>
        </w:rPr>
        <w:t> </w:t>
      </w:r>
      <w:r>
        <w:rPr>
          <w:sz w:val="19"/>
        </w:rPr>
        <w:t>1</w:t>
      </w:r>
      <w:r>
        <w:rPr>
          <w:spacing w:val="-4"/>
          <w:sz w:val="19"/>
        </w:rPr>
        <w:t> </w:t>
      </w:r>
      <w:r>
        <w:rPr>
          <w:sz w:val="19"/>
        </w:rPr>
        <w:t>de</w:t>
      </w:r>
      <w:r>
        <w:rPr>
          <w:spacing w:val="-4"/>
          <w:sz w:val="19"/>
        </w:rPr>
        <w:t> </w:t>
      </w:r>
      <w:r>
        <w:rPr>
          <w:sz w:val="19"/>
        </w:rPr>
        <w:t>março</w:t>
      </w:r>
      <w:r>
        <w:rPr>
          <w:spacing w:val="-4"/>
          <w:sz w:val="19"/>
        </w:rPr>
        <w:t> </w:t>
      </w:r>
      <w:r>
        <w:rPr>
          <w:sz w:val="19"/>
        </w:rPr>
        <w:t>de</w:t>
      </w:r>
      <w:r>
        <w:rPr>
          <w:spacing w:val="-4"/>
          <w:sz w:val="19"/>
        </w:rPr>
        <w:t> 2023</w:t>
      </w:r>
    </w:p>
    <w:p>
      <w:pPr>
        <w:pStyle w:val="BodyText"/>
        <w:rPr>
          <w:sz w:val="19"/>
        </w:rPr>
      </w:pPr>
    </w:p>
    <w:p>
      <w:pPr>
        <w:pStyle w:val="BodyText"/>
        <w:spacing w:before="25"/>
        <w:rPr>
          <w:sz w:val="19"/>
        </w:rPr>
      </w:pPr>
    </w:p>
    <w:p>
      <w:pPr>
        <w:spacing w:line="247" w:lineRule="auto" w:before="0"/>
        <w:ind w:left="839" w:right="6704" w:firstLine="0"/>
        <w:jc w:val="left"/>
        <w:rPr>
          <w:sz w:val="19"/>
        </w:rPr>
      </w:pPr>
      <w:r>
        <w:rPr/>
        <w:drawing>
          <wp:anchor distT="0" distB="0" distL="0" distR="0" allowOverlap="1" layoutInCell="1" locked="0" behindDoc="0" simplePos="0" relativeHeight="15734272">
            <wp:simplePos x="0" y="0"/>
            <wp:positionH relativeFrom="page">
              <wp:posOffset>1008223</wp:posOffset>
            </wp:positionH>
            <wp:positionV relativeFrom="paragraph">
              <wp:posOffset>581240</wp:posOffset>
            </wp:positionV>
            <wp:extent cx="1148261" cy="581012"/>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0" cstate="print"/>
                    <a:stretch>
                      <a:fillRect/>
                    </a:stretch>
                  </pic:blipFill>
                  <pic:spPr>
                    <a:xfrm>
                      <a:off x="0" y="0"/>
                      <a:ext cx="1148261" cy="581012"/>
                    </a:xfrm>
                    <a:prstGeom prst="rect">
                      <a:avLst/>
                    </a:prstGeom>
                  </pic:spPr>
                </pic:pic>
              </a:graphicData>
            </a:graphic>
          </wp:anchor>
        </w:drawing>
      </w:r>
      <w:r>
        <w:rPr>
          <w:sz w:val="19"/>
        </w:rPr>
        <w:t>KPMG</w:t>
      </w:r>
      <w:r>
        <w:rPr>
          <w:spacing w:val="-11"/>
          <w:sz w:val="19"/>
        </w:rPr>
        <w:t> </w:t>
      </w:r>
      <w:r>
        <w:rPr>
          <w:sz w:val="19"/>
        </w:rPr>
        <w:t>Auditores</w:t>
      </w:r>
      <w:r>
        <w:rPr>
          <w:spacing w:val="-11"/>
          <w:sz w:val="19"/>
        </w:rPr>
        <w:t> </w:t>
      </w:r>
      <w:r>
        <w:rPr>
          <w:sz w:val="19"/>
        </w:rPr>
        <w:t>Independentes</w:t>
      </w:r>
      <w:r>
        <w:rPr>
          <w:spacing w:val="-10"/>
          <w:sz w:val="19"/>
        </w:rPr>
        <w:t> </w:t>
      </w:r>
      <w:r>
        <w:rPr>
          <w:sz w:val="19"/>
        </w:rPr>
        <w:t>Ltda. CRC SP‐014428/O‐6 F‐RJ</w:t>
      </w:r>
    </w:p>
    <w:p>
      <w:pPr>
        <w:pStyle w:val="BodyText"/>
        <w:rPr>
          <w:sz w:val="19"/>
        </w:rPr>
      </w:pPr>
    </w:p>
    <w:p>
      <w:pPr>
        <w:pStyle w:val="BodyText"/>
        <w:rPr>
          <w:sz w:val="19"/>
        </w:rPr>
      </w:pPr>
    </w:p>
    <w:p>
      <w:pPr>
        <w:pStyle w:val="BodyText"/>
        <w:rPr>
          <w:sz w:val="19"/>
        </w:rPr>
      </w:pPr>
    </w:p>
    <w:p>
      <w:pPr>
        <w:pStyle w:val="BodyText"/>
        <w:spacing w:before="34"/>
        <w:rPr>
          <w:sz w:val="19"/>
        </w:rPr>
      </w:pPr>
    </w:p>
    <w:p>
      <w:pPr>
        <w:spacing w:line="247" w:lineRule="auto" w:before="1"/>
        <w:ind w:left="840" w:right="6704" w:hanging="1"/>
        <w:jc w:val="left"/>
        <w:rPr>
          <w:sz w:val="19"/>
        </w:rPr>
      </w:pPr>
      <w:r>
        <w:rPr>
          <w:sz w:val="19"/>
        </w:rPr>
        <w:t>Ulysses</w:t>
      </w:r>
      <w:r>
        <w:rPr>
          <w:spacing w:val="-11"/>
          <w:sz w:val="19"/>
        </w:rPr>
        <w:t> </w:t>
      </w:r>
      <w:r>
        <w:rPr>
          <w:sz w:val="19"/>
        </w:rPr>
        <w:t>M.</w:t>
      </w:r>
      <w:r>
        <w:rPr>
          <w:spacing w:val="-11"/>
          <w:sz w:val="19"/>
        </w:rPr>
        <w:t> </w:t>
      </w:r>
      <w:r>
        <w:rPr>
          <w:sz w:val="19"/>
        </w:rPr>
        <w:t>Duarte</w:t>
      </w:r>
      <w:r>
        <w:rPr>
          <w:spacing w:val="-11"/>
          <w:sz w:val="19"/>
        </w:rPr>
        <w:t> </w:t>
      </w:r>
      <w:r>
        <w:rPr>
          <w:sz w:val="19"/>
        </w:rPr>
        <w:t>Magalhães Contador</w:t>
      </w:r>
      <w:r>
        <w:rPr>
          <w:spacing w:val="-9"/>
          <w:sz w:val="19"/>
        </w:rPr>
        <w:t> </w:t>
      </w:r>
      <w:r>
        <w:rPr>
          <w:sz w:val="19"/>
        </w:rPr>
        <w:t>CRC</w:t>
      </w:r>
      <w:r>
        <w:rPr>
          <w:spacing w:val="-8"/>
          <w:sz w:val="19"/>
        </w:rPr>
        <w:t> </w:t>
      </w:r>
      <w:r>
        <w:rPr>
          <w:spacing w:val="-2"/>
          <w:sz w:val="19"/>
        </w:rPr>
        <w:t>RJ‐092095/O‐8</w:t>
      </w:r>
    </w:p>
    <w:p>
      <w:pPr>
        <w:spacing w:after="0" w:line="247" w:lineRule="auto"/>
        <w:jc w:val="left"/>
        <w:rPr>
          <w:sz w:val="19"/>
        </w:rPr>
        <w:sectPr>
          <w:pgSz w:w="11910" w:h="16840"/>
          <w:pgMar w:header="0" w:footer="1562" w:top="1520" w:bottom="1760" w:left="720" w:right="700"/>
        </w:sectPr>
      </w:pPr>
    </w:p>
    <w:p>
      <w:pPr>
        <w:spacing w:before="14"/>
        <w:ind w:left="139"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before="1"/>
        <w:ind w:left="139"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p>
      <w:pPr>
        <w:pStyle w:val="Heading4"/>
        <w:spacing w:line="290" w:lineRule="exact" w:before="7"/>
        <w:ind w:left="139"/>
        <w:jc w:val="left"/>
      </w:pPr>
      <w:bookmarkStart w:name="_TOC_250022" w:id="3"/>
      <w:r>
        <w:rPr/>
        <w:t>Balanço</w:t>
      </w:r>
      <w:r>
        <w:rPr>
          <w:spacing w:val="-6"/>
        </w:rPr>
        <w:t> </w:t>
      </w:r>
      <w:bookmarkEnd w:id="3"/>
      <w:r>
        <w:rPr>
          <w:spacing w:val="-2"/>
        </w:rPr>
        <w:t>Patrimonial</w:t>
      </w:r>
    </w:p>
    <w:p>
      <w:pPr>
        <w:spacing w:line="266" w:lineRule="exact" w:before="0"/>
        <w:ind w:left="139" w:right="0" w:firstLine="0"/>
        <w:jc w:val="left"/>
        <w:rPr>
          <w:i/>
          <w:sz w:val="22"/>
        </w:rPr>
      </w:pPr>
      <w:r>
        <w:rPr/>
        <mc:AlternateContent>
          <mc:Choice Requires="wps">
            <w:drawing>
              <wp:anchor distT="0" distB="0" distL="0" distR="0" allowOverlap="1" layoutInCell="1" locked="0" behindDoc="0" simplePos="0" relativeHeight="15734784">
                <wp:simplePos x="0" y="0"/>
                <wp:positionH relativeFrom="page">
                  <wp:posOffset>438797</wp:posOffset>
                </wp:positionH>
                <wp:positionV relativeFrom="paragraph">
                  <wp:posOffset>183923</wp:posOffset>
                </wp:positionV>
                <wp:extent cx="981583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9815830" cy="1270"/>
                        </a:xfrm>
                        <a:custGeom>
                          <a:avLst/>
                          <a:gdLst/>
                          <a:ahLst/>
                          <a:cxnLst/>
                          <a:rect l="l" t="t" r="r" b="b"/>
                          <a:pathLst>
                            <a:path w="9815830" h="0">
                              <a:moveTo>
                                <a:pt x="0" y="0"/>
                              </a:moveTo>
                              <a:lnTo>
                                <a:pt x="9815322"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4784" from="34.550999pt,14.482157pt" to="807.410999pt,14.482157pt" stroked="true" strokeweight=".48pt" strokecolor="#000000">
                <v:stroke dashstyle="solid"/>
                <w10:wrap type="none"/>
              </v:line>
            </w:pict>
          </mc:Fallback>
        </mc:AlternateContent>
      </w:r>
      <w:r>
        <w:rPr>
          <w:i/>
          <w:sz w:val="22"/>
        </w:rPr>
        <w:t>Exercícios</w:t>
      </w:r>
      <w:r>
        <w:rPr>
          <w:i/>
          <w:spacing w:val="-7"/>
          <w:sz w:val="22"/>
        </w:rPr>
        <w:t> </w:t>
      </w:r>
      <w:r>
        <w:rPr>
          <w:i/>
          <w:sz w:val="22"/>
        </w:rPr>
        <w:t>findos</w:t>
      </w:r>
      <w:r>
        <w:rPr>
          <w:i/>
          <w:spacing w:val="-7"/>
          <w:sz w:val="22"/>
        </w:rPr>
        <w:t> </w:t>
      </w:r>
      <w:r>
        <w:rPr>
          <w:i/>
          <w:sz w:val="22"/>
        </w:rPr>
        <w:t>em</w:t>
      </w:r>
      <w:r>
        <w:rPr>
          <w:i/>
          <w:spacing w:val="-7"/>
          <w:sz w:val="22"/>
        </w:rPr>
        <w:t> </w:t>
      </w:r>
      <w:r>
        <w:rPr>
          <w:i/>
          <w:sz w:val="22"/>
        </w:rPr>
        <w:t>31</w:t>
      </w:r>
      <w:r>
        <w:rPr>
          <w:i/>
          <w:spacing w:val="-7"/>
          <w:sz w:val="22"/>
        </w:rPr>
        <w:t> </w:t>
      </w:r>
      <w:r>
        <w:rPr>
          <w:i/>
          <w:sz w:val="22"/>
        </w:rPr>
        <w:t>de</w:t>
      </w:r>
      <w:r>
        <w:rPr>
          <w:i/>
          <w:spacing w:val="-7"/>
          <w:sz w:val="22"/>
        </w:rPr>
        <w:t> </w:t>
      </w:r>
      <w:r>
        <w:rPr>
          <w:i/>
          <w:sz w:val="22"/>
        </w:rPr>
        <w:t>dezembro</w:t>
      </w:r>
      <w:r>
        <w:rPr>
          <w:i/>
          <w:spacing w:val="-6"/>
          <w:sz w:val="22"/>
        </w:rPr>
        <w:t> </w:t>
      </w:r>
      <w:r>
        <w:rPr>
          <w:i/>
          <w:sz w:val="22"/>
        </w:rPr>
        <w:t>(Em</w:t>
      </w:r>
      <w:r>
        <w:rPr>
          <w:i/>
          <w:spacing w:val="-8"/>
          <w:sz w:val="22"/>
        </w:rPr>
        <w:t> </w:t>
      </w:r>
      <w:r>
        <w:rPr>
          <w:i/>
          <w:sz w:val="22"/>
        </w:rPr>
        <w:t>milhares</w:t>
      </w:r>
      <w:r>
        <w:rPr>
          <w:i/>
          <w:spacing w:val="-6"/>
          <w:sz w:val="22"/>
        </w:rPr>
        <w:t> </w:t>
      </w:r>
      <w:r>
        <w:rPr>
          <w:i/>
          <w:sz w:val="22"/>
        </w:rPr>
        <w:t>de</w:t>
      </w:r>
      <w:r>
        <w:rPr>
          <w:i/>
          <w:spacing w:val="-9"/>
          <w:sz w:val="22"/>
        </w:rPr>
        <w:t> </w:t>
      </w:r>
      <w:r>
        <w:rPr>
          <w:i/>
          <w:sz w:val="22"/>
        </w:rPr>
        <w:t>reais,</w:t>
      </w:r>
      <w:r>
        <w:rPr>
          <w:i/>
          <w:spacing w:val="-6"/>
          <w:sz w:val="22"/>
        </w:rPr>
        <w:t> </w:t>
      </w:r>
      <w:r>
        <w:rPr>
          <w:i/>
          <w:sz w:val="22"/>
        </w:rPr>
        <w:t>exceto</w:t>
      </w:r>
      <w:r>
        <w:rPr>
          <w:i/>
          <w:spacing w:val="-8"/>
          <w:sz w:val="22"/>
        </w:rPr>
        <w:t> </w:t>
      </w:r>
      <w:r>
        <w:rPr>
          <w:i/>
          <w:sz w:val="22"/>
        </w:rPr>
        <w:t>quando</w:t>
      </w:r>
      <w:r>
        <w:rPr>
          <w:i/>
          <w:spacing w:val="-7"/>
          <w:sz w:val="22"/>
        </w:rPr>
        <w:t> </w:t>
      </w:r>
      <w:r>
        <w:rPr>
          <w:i/>
          <w:sz w:val="22"/>
        </w:rPr>
        <w:t>indicado</w:t>
      </w:r>
      <w:r>
        <w:rPr>
          <w:i/>
          <w:spacing w:val="-6"/>
          <w:sz w:val="22"/>
        </w:rPr>
        <w:t> </w:t>
      </w:r>
      <w:r>
        <w:rPr>
          <w:i/>
          <w:sz w:val="22"/>
        </w:rPr>
        <w:t>em</w:t>
      </w:r>
      <w:r>
        <w:rPr>
          <w:i/>
          <w:spacing w:val="-7"/>
          <w:sz w:val="22"/>
        </w:rPr>
        <w:t> </w:t>
      </w:r>
      <w:r>
        <w:rPr>
          <w:i/>
          <w:spacing w:val="-2"/>
          <w:sz w:val="22"/>
        </w:rPr>
        <w:t>contrário)</w:t>
      </w:r>
    </w:p>
    <w:p>
      <w:pPr>
        <w:pStyle w:val="BodyText"/>
        <w:rPr>
          <w:i/>
          <w:sz w:val="20"/>
        </w:rPr>
      </w:pPr>
    </w:p>
    <w:p>
      <w:pPr>
        <w:pStyle w:val="BodyText"/>
        <w:rPr>
          <w:i/>
          <w:sz w:val="20"/>
        </w:rPr>
      </w:pPr>
    </w:p>
    <w:p>
      <w:pPr>
        <w:pStyle w:val="BodyText"/>
        <w:spacing w:before="73"/>
        <w:rPr>
          <w:i/>
          <w:sz w:val="20"/>
        </w:rPr>
      </w:pPr>
    </w:p>
    <w:tbl>
      <w:tblPr>
        <w:tblW w:w="0" w:type="auto"/>
        <w:jc w:val="left"/>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63"/>
        <w:gridCol w:w="1104"/>
        <w:gridCol w:w="1551"/>
        <w:gridCol w:w="1147"/>
        <w:gridCol w:w="4156"/>
        <w:gridCol w:w="1202"/>
        <w:gridCol w:w="1282"/>
        <w:gridCol w:w="1019"/>
      </w:tblGrid>
      <w:tr>
        <w:trPr>
          <w:trHeight w:val="366" w:hRule="atLeast"/>
        </w:trPr>
        <w:tc>
          <w:tcPr>
            <w:tcW w:w="3763" w:type="dxa"/>
          </w:tcPr>
          <w:p>
            <w:pPr>
              <w:pStyle w:val="TableParagraph"/>
              <w:spacing w:line="183" w:lineRule="exact"/>
              <w:ind w:left="50"/>
              <w:rPr>
                <w:b/>
                <w:sz w:val="18"/>
              </w:rPr>
            </w:pPr>
            <w:r>
              <w:rPr>
                <w:b/>
                <w:spacing w:val="-2"/>
                <w:sz w:val="18"/>
              </w:rPr>
              <w:t>Ativo</w:t>
            </w:r>
          </w:p>
        </w:tc>
        <w:tc>
          <w:tcPr>
            <w:tcW w:w="1104" w:type="dxa"/>
          </w:tcPr>
          <w:p>
            <w:pPr>
              <w:pStyle w:val="TableParagraph"/>
              <w:spacing w:before="3"/>
              <w:ind w:right="75"/>
              <w:jc w:val="right"/>
              <w:rPr>
                <w:sz w:val="18"/>
              </w:rPr>
            </w:pPr>
            <w:r>
              <w:rPr>
                <w:spacing w:val="-4"/>
                <w:sz w:val="18"/>
              </w:rPr>
              <w:t>Nota</w:t>
            </w:r>
          </w:p>
        </w:tc>
        <w:tc>
          <w:tcPr>
            <w:tcW w:w="2698" w:type="dxa"/>
            <w:gridSpan w:val="2"/>
          </w:tcPr>
          <w:p>
            <w:pPr>
              <w:pStyle w:val="TableParagraph"/>
              <w:tabs>
                <w:tab w:pos="774" w:val="left" w:leader="none"/>
                <w:tab w:pos="2092" w:val="left" w:leader="none"/>
              </w:tabs>
              <w:spacing w:before="3"/>
              <w:ind w:left="28"/>
              <w:rPr>
                <w:b/>
                <w:sz w:val="18"/>
              </w:rPr>
            </w:pPr>
            <w:r>
              <w:rPr>
                <w:rFonts w:ascii="Times New Roman"/>
                <w:sz w:val="18"/>
                <w:u w:val="single"/>
              </w:rPr>
              <w:tab/>
            </w:r>
            <w:r>
              <w:rPr>
                <w:b/>
                <w:spacing w:val="-4"/>
                <w:sz w:val="18"/>
                <w:u w:val="single"/>
              </w:rPr>
              <w:t>2022</w:t>
            </w:r>
            <w:r>
              <w:rPr>
                <w:b/>
                <w:sz w:val="18"/>
                <w:u w:val="single"/>
              </w:rPr>
              <w:tab/>
            </w:r>
            <w:r>
              <w:rPr>
                <w:b/>
                <w:spacing w:val="-4"/>
                <w:sz w:val="18"/>
                <w:u w:val="single"/>
              </w:rPr>
              <w:t>2021</w:t>
            </w:r>
            <w:r>
              <w:rPr>
                <w:b/>
                <w:spacing w:val="40"/>
                <w:sz w:val="18"/>
                <w:u w:val="single"/>
              </w:rPr>
              <w:t> </w:t>
            </w:r>
          </w:p>
        </w:tc>
        <w:tc>
          <w:tcPr>
            <w:tcW w:w="4156" w:type="dxa"/>
          </w:tcPr>
          <w:p>
            <w:pPr>
              <w:pStyle w:val="TableParagraph"/>
              <w:spacing w:line="183" w:lineRule="exact"/>
              <w:ind w:left="180"/>
              <w:rPr>
                <w:b/>
                <w:sz w:val="18"/>
              </w:rPr>
            </w:pPr>
            <w:r>
              <w:rPr>
                <w:b/>
                <w:sz w:val="18"/>
              </w:rPr>
              <w:t>Passivo</w:t>
            </w:r>
            <w:r>
              <w:rPr>
                <w:b/>
                <w:spacing w:val="-5"/>
                <w:sz w:val="18"/>
              </w:rPr>
              <w:t> </w:t>
            </w:r>
            <w:r>
              <w:rPr>
                <w:b/>
                <w:sz w:val="18"/>
              </w:rPr>
              <w:t>e</w:t>
            </w:r>
            <w:r>
              <w:rPr>
                <w:b/>
                <w:spacing w:val="-1"/>
                <w:sz w:val="18"/>
              </w:rPr>
              <w:t> </w:t>
            </w:r>
            <w:r>
              <w:rPr>
                <w:b/>
                <w:sz w:val="18"/>
              </w:rPr>
              <w:t>Patrimônio </w:t>
            </w:r>
            <w:r>
              <w:rPr>
                <w:b/>
                <w:spacing w:val="-2"/>
                <w:sz w:val="18"/>
              </w:rPr>
              <w:t>Líquido</w:t>
            </w:r>
          </w:p>
        </w:tc>
        <w:tc>
          <w:tcPr>
            <w:tcW w:w="3503" w:type="dxa"/>
            <w:gridSpan w:val="3"/>
          </w:tcPr>
          <w:p>
            <w:pPr>
              <w:pStyle w:val="TableParagraph"/>
              <w:tabs>
                <w:tab w:pos="1706" w:val="left" w:leader="none"/>
                <w:tab w:pos="3026" w:val="left" w:leader="none"/>
              </w:tabs>
              <w:spacing w:before="3"/>
              <w:ind w:left="255"/>
              <w:rPr>
                <w:b/>
                <w:sz w:val="18"/>
              </w:rPr>
            </w:pPr>
            <w:r>
              <w:rPr>
                <w:spacing w:val="-4"/>
                <w:sz w:val="18"/>
              </w:rPr>
              <w:t>Nota</w:t>
            </w:r>
            <w:r>
              <w:rPr>
                <w:rFonts w:ascii="Times New Roman"/>
                <w:sz w:val="18"/>
                <w:u w:val="single"/>
              </w:rPr>
              <w:tab/>
            </w:r>
            <w:r>
              <w:rPr>
                <w:b/>
                <w:spacing w:val="-4"/>
                <w:sz w:val="18"/>
                <w:u w:val="single"/>
              </w:rPr>
              <w:t>2022</w:t>
            </w:r>
            <w:r>
              <w:rPr>
                <w:b/>
                <w:sz w:val="18"/>
                <w:u w:val="single"/>
              </w:rPr>
              <w:tab/>
            </w:r>
            <w:r>
              <w:rPr>
                <w:b/>
                <w:spacing w:val="-4"/>
                <w:sz w:val="18"/>
                <w:u w:val="single"/>
              </w:rPr>
              <w:t>2021</w:t>
            </w:r>
            <w:r>
              <w:rPr>
                <w:b/>
                <w:spacing w:val="40"/>
                <w:sz w:val="18"/>
                <w:u w:val="single"/>
              </w:rPr>
              <w:t> </w:t>
            </w:r>
          </w:p>
        </w:tc>
      </w:tr>
      <w:tr>
        <w:trPr>
          <w:trHeight w:val="327" w:hRule="atLeast"/>
        </w:trPr>
        <w:tc>
          <w:tcPr>
            <w:tcW w:w="3763" w:type="dxa"/>
          </w:tcPr>
          <w:p>
            <w:pPr>
              <w:pStyle w:val="TableParagraph"/>
              <w:spacing w:line="196" w:lineRule="exact" w:before="110"/>
              <w:ind w:left="50"/>
              <w:rPr>
                <w:b/>
                <w:sz w:val="18"/>
              </w:rPr>
            </w:pPr>
            <w:r>
              <w:rPr>
                <w:b/>
                <w:spacing w:val="-2"/>
                <w:sz w:val="18"/>
              </w:rPr>
              <w:t>Circulante</w:t>
            </w:r>
          </w:p>
        </w:tc>
        <w:tc>
          <w:tcPr>
            <w:tcW w:w="1104" w:type="dxa"/>
          </w:tcPr>
          <w:p>
            <w:pPr>
              <w:pStyle w:val="TableParagraph"/>
              <w:rPr>
                <w:rFonts w:ascii="Times New Roman"/>
                <w:sz w:val="18"/>
              </w:rPr>
            </w:pPr>
          </w:p>
        </w:tc>
        <w:tc>
          <w:tcPr>
            <w:tcW w:w="2698" w:type="dxa"/>
            <w:gridSpan w:val="2"/>
          </w:tcPr>
          <w:p>
            <w:pPr>
              <w:pStyle w:val="TableParagraph"/>
              <w:rPr>
                <w:rFonts w:ascii="Times New Roman"/>
                <w:sz w:val="18"/>
              </w:rPr>
            </w:pPr>
          </w:p>
        </w:tc>
        <w:tc>
          <w:tcPr>
            <w:tcW w:w="4156" w:type="dxa"/>
          </w:tcPr>
          <w:p>
            <w:pPr>
              <w:pStyle w:val="TableParagraph"/>
              <w:spacing w:line="196" w:lineRule="exact" w:before="110"/>
              <w:ind w:left="180"/>
              <w:rPr>
                <w:b/>
                <w:sz w:val="18"/>
              </w:rPr>
            </w:pPr>
            <w:r>
              <w:rPr>
                <w:b/>
                <w:spacing w:val="-2"/>
                <w:sz w:val="18"/>
              </w:rPr>
              <w:t>Circulante</w:t>
            </w:r>
          </w:p>
        </w:tc>
        <w:tc>
          <w:tcPr>
            <w:tcW w:w="3503" w:type="dxa"/>
            <w:gridSpan w:val="3"/>
          </w:tcPr>
          <w:p>
            <w:pPr>
              <w:pStyle w:val="TableParagraph"/>
              <w:rPr>
                <w:rFonts w:ascii="Times New Roman"/>
                <w:sz w:val="18"/>
              </w:rPr>
            </w:pPr>
          </w:p>
        </w:tc>
      </w:tr>
      <w:tr>
        <w:trPr>
          <w:trHeight w:val="358" w:hRule="atLeast"/>
        </w:trPr>
        <w:tc>
          <w:tcPr>
            <w:tcW w:w="3763" w:type="dxa"/>
          </w:tcPr>
          <w:p>
            <w:pPr>
              <w:pStyle w:val="TableParagraph"/>
              <w:spacing w:before="69"/>
              <w:ind w:left="257"/>
              <w:rPr>
                <w:sz w:val="18"/>
              </w:rPr>
            </w:pPr>
            <w:r>
              <w:rPr>
                <w:sz w:val="18"/>
              </w:rPr>
              <w:t>Caixa</w:t>
            </w:r>
            <w:r>
              <w:rPr>
                <w:spacing w:val="-2"/>
                <w:sz w:val="18"/>
              </w:rPr>
              <w:t> </w:t>
            </w:r>
            <w:r>
              <w:rPr>
                <w:sz w:val="18"/>
              </w:rPr>
              <w:t>e</w:t>
            </w:r>
            <w:r>
              <w:rPr>
                <w:spacing w:val="-1"/>
                <w:sz w:val="18"/>
              </w:rPr>
              <w:t> </w:t>
            </w:r>
            <w:r>
              <w:rPr>
                <w:sz w:val="18"/>
              </w:rPr>
              <w:t>equivalentes</w:t>
            </w:r>
            <w:r>
              <w:rPr>
                <w:spacing w:val="-1"/>
                <w:sz w:val="18"/>
              </w:rPr>
              <w:t> </w:t>
            </w:r>
            <w:r>
              <w:rPr>
                <w:sz w:val="18"/>
              </w:rPr>
              <w:t>de</w:t>
            </w:r>
            <w:r>
              <w:rPr>
                <w:spacing w:val="-1"/>
                <w:sz w:val="18"/>
              </w:rPr>
              <w:t> </w:t>
            </w:r>
            <w:r>
              <w:rPr>
                <w:spacing w:val="-2"/>
                <w:sz w:val="18"/>
              </w:rPr>
              <w:t>caixa</w:t>
            </w:r>
          </w:p>
        </w:tc>
        <w:tc>
          <w:tcPr>
            <w:tcW w:w="1104" w:type="dxa"/>
          </w:tcPr>
          <w:p>
            <w:pPr>
              <w:pStyle w:val="TableParagraph"/>
              <w:rPr>
                <w:rFonts w:ascii="Times New Roman"/>
                <w:sz w:val="18"/>
              </w:rPr>
            </w:pPr>
          </w:p>
        </w:tc>
        <w:tc>
          <w:tcPr>
            <w:tcW w:w="1551" w:type="dxa"/>
          </w:tcPr>
          <w:p>
            <w:pPr>
              <w:pStyle w:val="TableParagraph"/>
              <w:spacing w:line="219" w:lineRule="exact" w:before="119"/>
              <w:ind w:right="406"/>
              <w:jc w:val="right"/>
              <w:rPr>
                <w:sz w:val="18"/>
              </w:rPr>
            </w:pPr>
            <w:r>
              <w:rPr>
                <w:spacing w:val="-5"/>
                <w:sz w:val="18"/>
              </w:rPr>
              <w:t>149</w:t>
            </w:r>
          </w:p>
        </w:tc>
        <w:tc>
          <w:tcPr>
            <w:tcW w:w="1147" w:type="dxa"/>
          </w:tcPr>
          <w:p>
            <w:pPr>
              <w:pStyle w:val="TableParagraph"/>
              <w:spacing w:line="219" w:lineRule="exact" w:before="119"/>
              <w:ind w:right="234"/>
              <w:jc w:val="right"/>
              <w:rPr>
                <w:sz w:val="18"/>
              </w:rPr>
            </w:pPr>
            <w:r>
              <w:rPr>
                <w:spacing w:val="-5"/>
                <w:sz w:val="18"/>
              </w:rPr>
              <w:t>74</w:t>
            </w:r>
          </w:p>
        </w:tc>
        <w:tc>
          <w:tcPr>
            <w:tcW w:w="4156" w:type="dxa"/>
          </w:tcPr>
          <w:p>
            <w:pPr>
              <w:pStyle w:val="TableParagraph"/>
              <w:spacing w:before="69"/>
              <w:ind w:left="389"/>
              <w:rPr>
                <w:sz w:val="18"/>
              </w:rPr>
            </w:pPr>
            <w:r>
              <w:rPr>
                <w:spacing w:val="-2"/>
                <w:sz w:val="18"/>
              </w:rPr>
              <w:t>Fornecedores</w:t>
            </w:r>
          </w:p>
        </w:tc>
        <w:tc>
          <w:tcPr>
            <w:tcW w:w="1202" w:type="dxa"/>
          </w:tcPr>
          <w:p>
            <w:pPr>
              <w:pStyle w:val="TableParagraph"/>
              <w:spacing w:line="219" w:lineRule="exact" w:before="119"/>
              <w:ind w:right="460"/>
              <w:jc w:val="right"/>
              <w:rPr>
                <w:sz w:val="18"/>
              </w:rPr>
            </w:pPr>
            <w:r>
              <w:rPr>
                <w:spacing w:val="-10"/>
                <w:sz w:val="18"/>
              </w:rPr>
              <w:t>8</w:t>
            </w:r>
          </w:p>
        </w:tc>
        <w:tc>
          <w:tcPr>
            <w:tcW w:w="1282" w:type="dxa"/>
          </w:tcPr>
          <w:p>
            <w:pPr>
              <w:pStyle w:val="TableParagraph"/>
              <w:spacing w:line="219" w:lineRule="exact" w:before="119"/>
              <w:ind w:right="408"/>
              <w:jc w:val="right"/>
              <w:rPr>
                <w:sz w:val="18"/>
              </w:rPr>
            </w:pPr>
            <w:r>
              <w:rPr>
                <w:spacing w:val="-2"/>
                <w:sz w:val="18"/>
              </w:rPr>
              <w:t>1.032</w:t>
            </w:r>
          </w:p>
        </w:tc>
        <w:tc>
          <w:tcPr>
            <w:tcW w:w="1019" w:type="dxa"/>
          </w:tcPr>
          <w:p>
            <w:pPr>
              <w:pStyle w:val="TableParagraph"/>
              <w:spacing w:line="219" w:lineRule="exact" w:before="119"/>
              <w:ind w:right="107"/>
              <w:jc w:val="right"/>
              <w:rPr>
                <w:sz w:val="18"/>
              </w:rPr>
            </w:pPr>
            <w:r>
              <w:rPr>
                <w:spacing w:val="-2"/>
                <w:sz w:val="18"/>
              </w:rPr>
              <w:t>1.933</w:t>
            </w:r>
          </w:p>
        </w:tc>
      </w:tr>
      <w:tr>
        <w:trPr>
          <w:trHeight w:val="270" w:hRule="atLeast"/>
        </w:trPr>
        <w:tc>
          <w:tcPr>
            <w:tcW w:w="3763" w:type="dxa"/>
          </w:tcPr>
          <w:p>
            <w:pPr>
              <w:pStyle w:val="TableParagraph"/>
              <w:spacing w:before="4"/>
              <w:ind w:left="257"/>
              <w:rPr>
                <w:sz w:val="18"/>
              </w:rPr>
            </w:pPr>
            <w:r>
              <w:rPr>
                <w:sz w:val="18"/>
              </w:rPr>
              <w:t>Contas</w:t>
            </w:r>
            <w:r>
              <w:rPr>
                <w:spacing w:val="-3"/>
                <w:sz w:val="18"/>
              </w:rPr>
              <w:t> </w:t>
            </w:r>
            <w:r>
              <w:rPr>
                <w:sz w:val="18"/>
              </w:rPr>
              <w:t>a</w:t>
            </w:r>
            <w:r>
              <w:rPr>
                <w:spacing w:val="-2"/>
                <w:sz w:val="18"/>
              </w:rPr>
              <w:t> </w:t>
            </w:r>
            <w:r>
              <w:rPr>
                <w:sz w:val="18"/>
              </w:rPr>
              <w:t>receber,</w:t>
            </w:r>
            <w:r>
              <w:rPr>
                <w:spacing w:val="-3"/>
                <w:sz w:val="18"/>
              </w:rPr>
              <w:t> </w:t>
            </w:r>
            <w:r>
              <w:rPr>
                <w:spacing w:val="-2"/>
                <w:sz w:val="18"/>
              </w:rPr>
              <w:t>líquidas</w:t>
            </w:r>
          </w:p>
        </w:tc>
        <w:tc>
          <w:tcPr>
            <w:tcW w:w="1104" w:type="dxa"/>
          </w:tcPr>
          <w:p>
            <w:pPr>
              <w:pStyle w:val="TableParagraph"/>
              <w:spacing w:before="31"/>
              <w:ind w:right="26"/>
              <w:jc w:val="right"/>
              <w:rPr>
                <w:sz w:val="18"/>
              </w:rPr>
            </w:pPr>
            <w:r>
              <w:rPr>
                <w:spacing w:val="-5"/>
                <w:sz w:val="18"/>
              </w:rPr>
              <w:t>6.1</w:t>
            </w:r>
          </w:p>
        </w:tc>
        <w:tc>
          <w:tcPr>
            <w:tcW w:w="1551" w:type="dxa"/>
          </w:tcPr>
          <w:p>
            <w:pPr>
              <w:pStyle w:val="TableParagraph"/>
              <w:spacing w:before="31"/>
              <w:ind w:right="406"/>
              <w:jc w:val="right"/>
              <w:rPr>
                <w:sz w:val="18"/>
              </w:rPr>
            </w:pPr>
            <w:r>
              <w:rPr>
                <w:spacing w:val="-10"/>
                <w:sz w:val="18"/>
              </w:rPr>
              <w:t>‐</w:t>
            </w:r>
          </w:p>
        </w:tc>
        <w:tc>
          <w:tcPr>
            <w:tcW w:w="1147" w:type="dxa"/>
          </w:tcPr>
          <w:p>
            <w:pPr>
              <w:pStyle w:val="TableParagraph"/>
              <w:spacing w:before="31"/>
              <w:ind w:right="234"/>
              <w:jc w:val="right"/>
              <w:rPr>
                <w:sz w:val="18"/>
              </w:rPr>
            </w:pPr>
            <w:r>
              <w:rPr>
                <w:spacing w:val="-5"/>
                <w:sz w:val="18"/>
              </w:rPr>
              <w:t>306</w:t>
            </w:r>
          </w:p>
        </w:tc>
        <w:tc>
          <w:tcPr>
            <w:tcW w:w="4156" w:type="dxa"/>
          </w:tcPr>
          <w:p>
            <w:pPr>
              <w:pStyle w:val="TableParagraph"/>
              <w:spacing w:line="206" w:lineRule="exact"/>
              <w:ind w:left="389"/>
              <w:rPr>
                <w:sz w:val="18"/>
              </w:rPr>
            </w:pPr>
            <w:r>
              <w:rPr>
                <w:sz w:val="18"/>
              </w:rPr>
              <w:t>Impostos e </w:t>
            </w:r>
            <w:r>
              <w:rPr>
                <w:spacing w:val="-2"/>
                <w:sz w:val="18"/>
              </w:rPr>
              <w:t>contribuições</w:t>
            </w:r>
          </w:p>
        </w:tc>
        <w:tc>
          <w:tcPr>
            <w:tcW w:w="1202" w:type="dxa"/>
          </w:tcPr>
          <w:p>
            <w:pPr>
              <w:pStyle w:val="TableParagraph"/>
              <w:spacing w:before="31"/>
              <w:ind w:right="460"/>
              <w:jc w:val="right"/>
              <w:rPr>
                <w:sz w:val="18"/>
              </w:rPr>
            </w:pPr>
            <w:r>
              <w:rPr>
                <w:spacing w:val="-4"/>
                <w:sz w:val="18"/>
              </w:rPr>
              <w:t>10.1</w:t>
            </w:r>
          </w:p>
        </w:tc>
        <w:tc>
          <w:tcPr>
            <w:tcW w:w="1282" w:type="dxa"/>
          </w:tcPr>
          <w:p>
            <w:pPr>
              <w:pStyle w:val="TableParagraph"/>
              <w:spacing w:before="31"/>
              <w:ind w:right="409"/>
              <w:jc w:val="right"/>
              <w:rPr>
                <w:sz w:val="18"/>
              </w:rPr>
            </w:pPr>
            <w:r>
              <w:rPr>
                <w:spacing w:val="-5"/>
                <w:sz w:val="18"/>
              </w:rPr>
              <w:t>24</w:t>
            </w:r>
          </w:p>
        </w:tc>
        <w:tc>
          <w:tcPr>
            <w:tcW w:w="1019" w:type="dxa"/>
          </w:tcPr>
          <w:p>
            <w:pPr>
              <w:pStyle w:val="TableParagraph"/>
              <w:spacing w:before="31"/>
              <w:ind w:right="109"/>
              <w:jc w:val="right"/>
              <w:rPr>
                <w:sz w:val="18"/>
              </w:rPr>
            </w:pPr>
            <w:r>
              <w:rPr>
                <w:spacing w:val="-5"/>
                <w:sz w:val="18"/>
              </w:rPr>
              <w:t>35</w:t>
            </w:r>
          </w:p>
        </w:tc>
      </w:tr>
      <w:tr>
        <w:trPr>
          <w:trHeight w:val="268" w:hRule="atLeast"/>
        </w:trPr>
        <w:tc>
          <w:tcPr>
            <w:tcW w:w="3763" w:type="dxa"/>
          </w:tcPr>
          <w:p>
            <w:pPr>
              <w:pStyle w:val="TableParagraph"/>
              <w:spacing w:before="2"/>
              <w:ind w:left="257"/>
              <w:rPr>
                <w:sz w:val="18"/>
              </w:rPr>
            </w:pPr>
            <w:r>
              <w:rPr>
                <w:sz w:val="18"/>
              </w:rPr>
              <w:t>Contas</w:t>
            </w:r>
            <w:r>
              <w:rPr>
                <w:spacing w:val="-2"/>
                <w:sz w:val="18"/>
              </w:rPr>
              <w:t> </w:t>
            </w:r>
            <w:r>
              <w:rPr>
                <w:sz w:val="18"/>
              </w:rPr>
              <w:t>a</w:t>
            </w:r>
            <w:r>
              <w:rPr>
                <w:spacing w:val="-2"/>
                <w:sz w:val="18"/>
              </w:rPr>
              <w:t> </w:t>
            </w:r>
            <w:r>
              <w:rPr>
                <w:sz w:val="18"/>
              </w:rPr>
              <w:t>receber</w:t>
            </w:r>
            <w:r>
              <w:rPr>
                <w:spacing w:val="-2"/>
                <w:sz w:val="18"/>
              </w:rPr>
              <w:t> </w:t>
            </w:r>
            <w:r>
              <w:rPr>
                <w:sz w:val="18"/>
              </w:rPr>
              <w:t>‐</w:t>
            </w:r>
            <w:r>
              <w:rPr>
                <w:spacing w:val="-1"/>
                <w:sz w:val="18"/>
              </w:rPr>
              <w:t> </w:t>
            </w:r>
            <w:r>
              <w:rPr>
                <w:spacing w:val="-4"/>
                <w:sz w:val="18"/>
              </w:rPr>
              <w:t>FIDC</w:t>
            </w:r>
          </w:p>
        </w:tc>
        <w:tc>
          <w:tcPr>
            <w:tcW w:w="1104" w:type="dxa"/>
          </w:tcPr>
          <w:p>
            <w:pPr>
              <w:pStyle w:val="TableParagraph"/>
              <w:spacing w:before="29"/>
              <w:ind w:right="26"/>
              <w:jc w:val="right"/>
              <w:rPr>
                <w:sz w:val="18"/>
              </w:rPr>
            </w:pPr>
            <w:r>
              <w:rPr>
                <w:spacing w:val="-5"/>
                <w:sz w:val="18"/>
              </w:rPr>
              <w:t>6.1</w:t>
            </w:r>
          </w:p>
        </w:tc>
        <w:tc>
          <w:tcPr>
            <w:tcW w:w="1551" w:type="dxa"/>
          </w:tcPr>
          <w:p>
            <w:pPr>
              <w:pStyle w:val="TableParagraph"/>
              <w:spacing w:before="29"/>
              <w:ind w:right="406"/>
              <w:jc w:val="right"/>
              <w:rPr>
                <w:sz w:val="18"/>
              </w:rPr>
            </w:pPr>
            <w:r>
              <w:rPr>
                <w:spacing w:val="-2"/>
                <w:sz w:val="18"/>
              </w:rPr>
              <w:t>92.918</w:t>
            </w:r>
          </w:p>
        </w:tc>
        <w:tc>
          <w:tcPr>
            <w:tcW w:w="1147" w:type="dxa"/>
          </w:tcPr>
          <w:p>
            <w:pPr>
              <w:pStyle w:val="TableParagraph"/>
              <w:spacing w:before="29"/>
              <w:ind w:right="234"/>
              <w:jc w:val="right"/>
              <w:rPr>
                <w:sz w:val="18"/>
              </w:rPr>
            </w:pPr>
            <w:r>
              <w:rPr>
                <w:spacing w:val="-2"/>
                <w:sz w:val="18"/>
              </w:rPr>
              <w:t>59.535</w:t>
            </w:r>
          </w:p>
        </w:tc>
        <w:tc>
          <w:tcPr>
            <w:tcW w:w="4156" w:type="dxa"/>
          </w:tcPr>
          <w:p>
            <w:pPr>
              <w:pStyle w:val="TableParagraph"/>
              <w:spacing w:line="207" w:lineRule="exact"/>
              <w:ind w:left="389"/>
              <w:rPr>
                <w:sz w:val="18"/>
              </w:rPr>
            </w:pPr>
            <w:r>
              <w:rPr>
                <w:sz w:val="18"/>
              </w:rPr>
              <w:t>Salários,</w:t>
            </w:r>
            <w:r>
              <w:rPr>
                <w:spacing w:val="-3"/>
                <w:sz w:val="18"/>
              </w:rPr>
              <w:t> </w:t>
            </w:r>
            <w:r>
              <w:rPr>
                <w:sz w:val="18"/>
              </w:rPr>
              <w:t>férias, encargos e </w:t>
            </w:r>
            <w:r>
              <w:rPr>
                <w:spacing w:val="-2"/>
                <w:sz w:val="18"/>
              </w:rPr>
              <w:t>participações</w:t>
            </w:r>
          </w:p>
        </w:tc>
        <w:tc>
          <w:tcPr>
            <w:tcW w:w="1202" w:type="dxa"/>
          </w:tcPr>
          <w:p>
            <w:pPr>
              <w:pStyle w:val="TableParagraph"/>
              <w:rPr>
                <w:rFonts w:ascii="Times New Roman"/>
                <w:sz w:val="18"/>
              </w:rPr>
            </w:pPr>
          </w:p>
        </w:tc>
        <w:tc>
          <w:tcPr>
            <w:tcW w:w="1282" w:type="dxa"/>
          </w:tcPr>
          <w:p>
            <w:pPr>
              <w:pStyle w:val="TableParagraph"/>
              <w:spacing w:before="29"/>
              <w:ind w:right="409"/>
              <w:jc w:val="right"/>
              <w:rPr>
                <w:sz w:val="18"/>
              </w:rPr>
            </w:pPr>
            <w:r>
              <w:rPr>
                <w:spacing w:val="-5"/>
                <w:sz w:val="18"/>
              </w:rPr>
              <w:t>172</w:t>
            </w:r>
          </w:p>
        </w:tc>
        <w:tc>
          <w:tcPr>
            <w:tcW w:w="1019" w:type="dxa"/>
          </w:tcPr>
          <w:p>
            <w:pPr>
              <w:pStyle w:val="TableParagraph"/>
              <w:spacing w:before="29"/>
              <w:ind w:right="109"/>
              <w:jc w:val="right"/>
              <w:rPr>
                <w:sz w:val="18"/>
              </w:rPr>
            </w:pPr>
            <w:r>
              <w:rPr>
                <w:spacing w:val="-5"/>
                <w:sz w:val="18"/>
              </w:rPr>
              <w:t>133</w:t>
            </w:r>
          </w:p>
        </w:tc>
      </w:tr>
      <w:tr>
        <w:trPr>
          <w:trHeight w:val="271" w:hRule="atLeast"/>
        </w:trPr>
        <w:tc>
          <w:tcPr>
            <w:tcW w:w="3763" w:type="dxa"/>
          </w:tcPr>
          <w:p>
            <w:pPr>
              <w:pStyle w:val="TableParagraph"/>
              <w:spacing w:before="5"/>
              <w:ind w:left="257"/>
              <w:rPr>
                <w:sz w:val="18"/>
              </w:rPr>
            </w:pPr>
            <w:r>
              <w:rPr>
                <w:spacing w:val="-2"/>
                <w:sz w:val="18"/>
              </w:rPr>
              <w:t>Estoques</w:t>
            </w:r>
          </w:p>
        </w:tc>
        <w:tc>
          <w:tcPr>
            <w:tcW w:w="1104" w:type="dxa"/>
          </w:tcPr>
          <w:p>
            <w:pPr>
              <w:pStyle w:val="TableParagraph"/>
              <w:spacing w:before="31"/>
              <w:ind w:right="26"/>
              <w:jc w:val="right"/>
              <w:rPr>
                <w:sz w:val="18"/>
              </w:rPr>
            </w:pPr>
            <w:r>
              <w:rPr>
                <w:spacing w:val="-10"/>
                <w:sz w:val="18"/>
              </w:rPr>
              <w:t>7</w:t>
            </w:r>
          </w:p>
        </w:tc>
        <w:tc>
          <w:tcPr>
            <w:tcW w:w="1551" w:type="dxa"/>
          </w:tcPr>
          <w:p>
            <w:pPr>
              <w:pStyle w:val="TableParagraph"/>
              <w:spacing w:before="31"/>
              <w:ind w:right="406"/>
              <w:jc w:val="right"/>
              <w:rPr>
                <w:sz w:val="18"/>
              </w:rPr>
            </w:pPr>
            <w:r>
              <w:rPr>
                <w:spacing w:val="-2"/>
                <w:sz w:val="18"/>
              </w:rPr>
              <w:t>8.121</w:t>
            </w:r>
          </w:p>
        </w:tc>
        <w:tc>
          <w:tcPr>
            <w:tcW w:w="1147" w:type="dxa"/>
          </w:tcPr>
          <w:p>
            <w:pPr>
              <w:pStyle w:val="TableParagraph"/>
              <w:spacing w:before="31"/>
              <w:ind w:right="234"/>
              <w:jc w:val="right"/>
              <w:rPr>
                <w:sz w:val="18"/>
              </w:rPr>
            </w:pPr>
            <w:r>
              <w:rPr>
                <w:spacing w:val="-2"/>
                <w:sz w:val="18"/>
              </w:rPr>
              <w:t>8.666</w:t>
            </w:r>
          </w:p>
        </w:tc>
        <w:tc>
          <w:tcPr>
            <w:tcW w:w="4156" w:type="dxa"/>
          </w:tcPr>
          <w:p>
            <w:pPr>
              <w:pStyle w:val="TableParagraph"/>
              <w:spacing w:line="207" w:lineRule="exact"/>
              <w:ind w:left="389"/>
              <w:rPr>
                <w:sz w:val="18"/>
              </w:rPr>
            </w:pPr>
            <w:r>
              <w:rPr>
                <w:sz w:val="18"/>
              </w:rPr>
              <w:t>Obrigações</w:t>
            </w:r>
            <w:r>
              <w:rPr>
                <w:spacing w:val="-5"/>
                <w:sz w:val="18"/>
              </w:rPr>
              <w:t> </w:t>
            </w:r>
            <w:r>
              <w:rPr>
                <w:sz w:val="18"/>
              </w:rPr>
              <w:t>com</w:t>
            </w:r>
            <w:r>
              <w:rPr>
                <w:spacing w:val="-4"/>
                <w:sz w:val="18"/>
              </w:rPr>
              <w:t> </w:t>
            </w:r>
            <w:r>
              <w:rPr>
                <w:sz w:val="18"/>
              </w:rPr>
              <w:t>liquidação</w:t>
            </w:r>
            <w:r>
              <w:rPr>
                <w:spacing w:val="-4"/>
                <w:sz w:val="18"/>
              </w:rPr>
              <w:t> </w:t>
            </w:r>
            <w:r>
              <w:rPr>
                <w:sz w:val="18"/>
              </w:rPr>
              <w:t>de</w:t>
            </w:r>
            <w:r>
              <w:rPr>
                <w:spacing w:val="-4"/>
                <w:sz w:val="18"/>
              </w:rPr>
              <w:t> </w:t>
            </w:r>
            <w:r>
              <w:rPr>
                <w:sz w:val="18"/>
              </w:rPr>
              <w:t>planos</w:t>
            </w:r>
            <w:r>
              <w:rPr>
                <w:spacing w:val="-4"/>
                <w:sz w:val="18"/>
              </w:rPr>
              <w:t> </w:t>
            </w:r>
            <w:r>
              <w:rPr>
                <w:sz w:val="18"/>
              </w:rPr>
              <w:t>de</w:t>
            </w:r>
            <w:r>
              <w:rPr>
                <w:spacing w:val="-5"/>
                <w:sz w:val="18"/>
              </w:rPr>
              <w:t> </w:t>
            </w:r>
            <w:r>
              <w:rPr>
                <w:spacing w:val="-2"/>
                <w:sz w:val="18"/>
              </w:rPr>
              <w:t>pensão</w:t>
            </w:r>
          </w:p>
        </w:tc>
        <w:tc>
          <w:tcPr>
            <w:tcW w:w="1202" w:type="dxa"/>
          </w:tcPr>
          <w:p>
            <w:pPr>
              <w:pStyle w:val="TableParagraph"/>
              <w:spacing w:before="31"/>
              <w:ind w:right="460"/>
              <w:jc w:val="right"/>
              <w:rPr>
                <w:sz w:val="18"/>
              </w:rPr>
            </w:pPr>
            <w:r>
              <w:rPr>
                <w:spacing w:val="-4"/>
                <w:sz w:val="18"/>
              </w:rPr>
              <w:t>11.4</w:t>
            </w:r>
          </w:p>
        </w:tc>
        <w:tc>
          <w:tcPr>
            <w:tcW w:w="1282" w:type="dxa"/>
          </w:tcPr>
          <w:p>
            <w:pPr>
              <w:pStyle w:val="TableParagraph"/>
              <w:spacing w:before="31"/>
              <w:ind w:right="409"/>
              <w:jc w:val="right"/>
              <w:rPr>
                <w:sz w:val="18"/>
              </w:rPr>
            </w:pPr>
            <w:r>
              <w:rPr>
                <w:spacing w:val="-10"/>
                <w:sz w:val="18"/>
              </w:rPr>
              <w:t>‐</w:t>
            </w:r>
          </w:p>
        </w:tc>
        <w:tc>
          <w:tcPr>
            <w:tcW w:w="1019" w:type="dxa"/>
          </w:tcPr>
          <w:p>
            <w:pPr>
              <w:pStyle w:val="TableParagraph"/>
              <w:spacing w:before="31"/>
              <w:ind w:right="107"/>
              <w:jc w:val="right"/>
              <w:rPr>
                <w:sz w:val="18"/>
              </w:rPr>
            </w:pPr>
            <w:r>
              <w:rPr>
                <w:spacing w:val="-2"/>
                <w:sz w:val="18"/>
              </w:rPr>
              <w:t>18.445</w:t>
            </w:r>
          </w:p>
        </w:tc>
      </w:tr>
      <w:tr>
        <w:trPr>
          <w:trHeight w:val="228" w:hRule="atLeast"/>
        </w:trPr>
        <w:tc>
          <w:tcPr>
            <w:tcW w:w="3763" w:type="dxa"/>
          </w:tcPr>
          <w:p>
            <w:pPr>
              <w:pStyle w:val="TableParagraph"/>
              <w:spacing w:line="207" w:lineRule="exact"/>
              <w:ind w:left="257"/>
              <w:rPr>
                <w:sz w:val="18"/>
              </w:rPr>
            </w:pPr>
            <w:r>
              <w:rPr>
                <w:sz w:val="18"/>
              </w:rPr>
              <w:t>Imposto</w:t>
            </w:r>
            <w:r>
              <w:rPr>
                <w:spacing w:val="-3"/>
                <w:sz w:val="18"/>
              </w:rPr>
              <w:t> </w:t>
            </w:r>
            <w:r>
              <w:rPr>
                <w:sz w:val="18"/>
              </w:rPr>
              <w:t>de</w:t>
            </w:r>
            <w:r>
              <w:rPr>
                <w:spacing w:val="-3"/>
                <w:sz w:val="18"/>
              </w:rPr>
              <w:t> </w:t>
            </w:r>
            <w:r>
              <w:rPr>
                <w:sz w:val="18"/>
              </w:rPr>
              <w:t>renda</w:t>
            </w:r>
            <w:r>
              <w:rPr>
                <w:spacing w:val="-3"/>
                <w:sz w:val="18"/>
              </w:rPr>
              <w:t> </w:t>
            </w:r>
            <w:r>
              <w:rPr>
                <w:sz w:val="18"/>
              </w:rPr>
              <w:t>e</w:t>
            </w:r>
            <w:r>
              <w:rPr>
                <w:spacing w:val="-3"/>
                <w:sz w:val="18"/>
              </w:rPr>
              <w:t> </w:t>
            </w:r>
            <w:r>
              <w:rPr>
                <w:sz w:val="18"/>
              </w:rPr>
              <w:t>contribuição</w:t>
            </w:r>
            <w:r>
              <w:rPr>
                <w:spacing w:val="-1"/>
                <w:sz w:val="18"/>
              </w:rPr>
              <w:t> </w:t>
            </w:r>
            <w:r>
              <w:rPr>
                <w:spacing w:val="-2"/>
                <w:sz w:val="18"/>
              </w:rPr>
              <w:t>social</w:t>
            </w:r>
          </w:p>
        </w:tc>
        <w:tc>
          <w:tcPr>
            <w:tcW w:w="1104" w:type="dxa"/>
          </w:tcPr>
          <w:p>
            <w:pPr>
              <w:pStyle w:val="TableParagraph"/>
              <w:spacing w:line="196" w:lineRule="exact" w:before="12"/>
              <w:ind w:right="26"/>
              <w:jc w:val="right"/>
              <w:rPr>
                <w:sz w:val="18"/>
              </w:rPr>
            </w:pPr>
            <w:r>
              <w:rPr>
                <w:spacing w:val="-4"/>
                <w:sz w:val="18"/>
              </w:rPr>
              <w:t>10.1</w:t>
            </w:r>
          </w:p>
        </w:tc>
        <w:tc>
          <w:tcPr>
            <w:tcW w:w="1551" w:type="dxa"/>
          </w:tcPr>
          <w:p>
            <w:pPr>
              <w:pStyle w:val="TableParagraph"/>
              <w:spacing w:line="196" w:lineRule="exact" w:before="12"/>
              <w:ind w:right="406"/>
              <w:jc w:val="right"/>
              <w:rPr>
                <w:sz w:val="18"/>
              </w:rPr>
            </w:pPr>
            <w:r>
              <w:rPr>
                <w:spacing w:val="-2"/>
                <w:sz w:val="18"/>
              </w:rPr>
              <w:t>7.816</w:t>
            </w:r>
          </w:p>
        </w:tc>
        <w:tc>
          <w:tcPr>
            <w:tcW w:w="1147" w:type="dxa"/>
          </w:tcPr>
          <w:p>
            <w:pPr>
              <w:pStyle w:val="TableParagraph"/>
              <w:spacing w:line="196" w:lineRule="exact" w:before="12"/>
              <w:ind w:right="234"/>
              <w:jc w:val="right"/>
              <w:rPr>
                <w:sz w:val="18"/>
              </w:rPr>
            </w:pPr>
            <w:r>
              <w:rPr>
                <w:spacing w:val="-2"/>
                <w:sz w:val="18"/>
              </w:rPr>
              <w:t>6.491</w:t>
            </w:r>
          </w:p>
        </w:tc>
        <w:tc>
          <w:tcPr>
            <w:tcW w:w="4156" w:type="dxa"/>
          </w:tcPr>
          <w:p>
            <w:pPr>
              <w:pStyle w:val="TableParagraph"/>
              <w:spacing w:line="207" w:lineRule="exact"/>
              <w:ind w:left="389"/>
              <w:rPr>
                <w:sz w:val="18"/>
              </w:rPr>
            </w:pPr>
            <w:r>
              <w:rPr>
                <w:sz w:val="18"/>
              </w:rPr>
              <w:t>Outras</w:t>
            </w:r>
            <w:r>
              <w:rPr>
                <w:spacing w:val="-5"/>
                <w:sz w:val="18"/>
              </w:rPr>
              <w:t> </w:t>
            </w:r>
            <w:r>
              <w:rPr>
                <w:sz w:val="18"/>
              </w:rPr>
              <w:t>contas</w:t>
            </w:r>
            <w:r>
              <w:rPr>
                <w:spacing w:val="-2"/>
                <w:sz w:val="18"/>
              </w:rPr>
              <w:t> </w:t>
            </w:r>
            <w:r>
              <w:rPr>
                <w:sz w:val="18"/>
              </w:rPr>
              <w:t>e</w:t>
            </w:r>
            <w:r>
              <w:rPr>
                <w:spacing w:val="-2"/>
                <w:sz w:val="18"/>
              </w:rPr>
              <w:t> </w:t>
            </w:r>
            <w:r>
              <w:rPr>
                <w:sz w:val="18"/>
              </w:rPr>
              <w:t>despesas</w:t>
            </w:r>
            <w:r>
              <w:rPr>
                <w:spacing w:val="-3"/>
                <w:sz w:val="18"/>
              </w:rPr>
              <w:t> </w:t>
            </w:r>
            <w:r>
              <w:rPr>
                <w:sz w:val="18"/>
              </w:rPr>
              <w:t>a</w:t>
            </w:r>
            <w:r>
              <w:rPr>
                <w:spacing w:val="-2"/>
                <w:sz w:val="18"/>
              </w:rPr>
              <w:t> </w:t>
            </w:r>
            <w:r>
              <w:rPr>
                <w:spacing w:val="-4"/>
                <w:sz w:val="18"/>
              </w:rPr>
              <w:t>pagar</w:t>
            </w:r>
          </w:p>
        </w:tc>
        <w:tc>
          <w:tcPr>
            <w:tcW w:w="1202" w:type="dxa"/>
          </w:tcPr>
          <w:p>
            <w:pPr>
              <w:pStyle w:val="TableParagraph"/>
              <w:rPr>
                <w:rFonts w:ascii="Times New Roman"/>
                <w:sz w:val="16"/>
              </w:rPr>
            </w:pPr>
          </w:p>
        </w:tc>
        <w:tc>
          <w:tcPr>
            <w:tcW w:w="1282" w:type="dxa"/>
          </w:tcPr>
          <w:p>
            <w:pPr>
              <w:pStyle w:val="TableParagraph"/>
              <w:spacing w:line="196" w:lineRule="exact" w:before="12"/>
              <w:ind w:right="409"/>
              <w:jc w:val="right"/>
              <w:rPr>
                <w:sz w:val="18"/>
              </w:rPr>
            </w:pPr>
            <w:r>
              <w:rPr>
                <w:spacing w:val="-5"/>
                <w:sz w:val="18"/>
              </w:rPr>
              <w:t>623</w:t>
            </w:r>
          </w:p>
        </w:tc>
        <w:tc>
          <w:tcPr>
            <w:tcW w:w="1019" w:type="dxa"/>
          </w:tcPr>
          <w:p>
            <w:pPr>
              <w:pStyle w:val="TableParagraph"/>
              <w:spacing w:line="196" w:lineRule="exact" w:before="12"/>
              <w:ind w:right="107"/>
              <w:jc w:val="right"/>
              <w:rPr>
                <w:sz w:val="18"/>
              </w:rPr>
            </w:pPr>
            <w:r>
              <w:rPr>
                <w:spacing w:val="-2"/>
                <w:sz w:val="18"/>
              </w:rPr>
              <w:t>1.138</w:t>
            </w:r>
          </w:p>
        </w:tc>
      </w:tr>
      <w:tr>
        <w:trPr>
          <w:trHeight w:val="509" w:hRule="atLeast"/>
        </w:trPr>
        <w:tc>
          <w:tcPr>
            <w:tcW w:w="3763" w:type="dxa"/>
          </w:tcPr>
          <w:p>
            <w:pPr>
              <w:pStyle w:val="TableParagraph"/>
              <w:spacing w:before="17"/>
              <w:ind w:left="257"/>
              <w:rPr>
                <w:sz w:val="18"/>
              </w:rPr>
            </w:pPr>
            <w:r>
              <w:rPr>
                <w:sz w:val="18"/>
              </w:rPr>
              <w:t>Outros</w:t>
            </w:r>
            <w:r>
              <w:rPr>
                <w:spacing w:val="-7"/>
                <w:sz w:val="18"/>
              </w:rPr>
              <w:t> </w:t>
            </w:r>
            <w:r>
              <w:rPr>
                <w:sz w:val="18"/>
              </w:rPr>
              <w:t>ativos</w:t>
            </w:r>
            <w:r>
              <w:rPr>
                <w:spacing w:val="-5"/>
                <w:sz w:val="18"/>
              </w:rPr>
              <w:t> </w:t>
            </w:r>
            <w:r>
              <w:rPr>
                <w:spacing w:val="-2"/>
                <w:sz w:val="18"/>
              </w:rPr>
              <w:t>circulantes</w:t>
            </w:r>
          </w:p>
        </w:tc>
        <w:tc>
          <w:tcPr>
            <w:tcW w:w="3802" w:type="dxa"/>
            <w:gridSpan w:val="3"/>
          </w:tcPr>
          <w:p>
            <w:pPr>
              <w:pStyle w:val="TableParagraph"/>
              <w:tabs>
                <w:tab w:pos="2188" w:val="left" w:leader="none"/>
                <w:tab w:pos="3379" w:val="left" w:leader="none"/>
              </w:tabs>
              <w:spacing w:before="37"/>
              <w:ind w:left="1132"/>
              <w:rPr>
                <w:sz w:val="18"/>
              </w:rPr>
            </w:pPr>
            <w:r>
              <w:rPr>
                <w:rFonts w:ascii="Times New Roman" w:hAnsi="Times New Roman"/>
                <w:sz w:val="18"/>
                <w:u w:val="single"/>
              </w:rPr>
              <w:tab/>
            </w:r>
            <w:r>
              <w:rPr>
                <w:spacing w:val="-10"/>
                <w:sz w:val="18"/>
                <w:u w:val="single"/>
              </w:rPr>
              <w:t>‐</w:t>
            </w:r>
            <w:r>
              <w:rPr>
                <w:sz w:val="18"/>
                <w:u w:val="single"/>
              </w:rPr>
              <w:tab/>
            </w:r>
            <w:r>
              <w:rPr>
                <w:spacing w:val="-5"/>
                <w:sz w:val="18"/>
                <w:u w:val="single"/>
              </w:rPr>
              <w:t>19</w:t>
            </w:r>
            <w:r>
              <w:rPr>
                <w:spacing w:val="40"/>
                <w:sz w:val="18"/>
                <w:u w:val="single"/>
              </w:rPr>
              <w:t> </w:t>
            </w:r>
          </w:p>
          <w:p>
            <w:pPr>
              <w:pStyle w:val="TableParagraph"/>
              <w:tabs>
                <w:tab w:pos="1650" w:val="left" w:leader="none"/>
                <w:tab w:pos="3059" w:val="left" w:leader="none"/>
              </w:tabs>
              <w:spacing w:line="196" w:lineRule="exact" w:before="37"/>
              <w:ind w:left="1132"/>
              <w:rPr>
                <w:sz w:val="18"/>
              </w:rPr>
            </w:pPr>
            <w:r>
              <w:rPr>
                <w:rFonts w:ascii="Times New Roman"/>
                <w:sz w:val="18"/>
                <w:u w:val="single"/>
              </w:rPr>
              <w:tab/>
            </w:r>
            <w:r>
              <w:rPr>
                <w:spacing w:val="-2"/>
                <w:sz w:val="18"/>
                <w:u w:val="single"/>
              </w:rPr>
              <w:t>109.004</w:t>
            </w:r>
            <w:r>
              <w:rPr>
                <w:sz w:val="18"/>
                <w:u w:val="single"/>
              </w:rPr>
              <w:tab/>
            </w:r>
            <w:r>
              <w:rPr>
                <w:spacing w:val="-2"/>
                <w:sz w:val="18"/>
                <w:u w:val="single"/>
              </w:rPr>
              <w:t>75.091</w:t>
            </w:r>
            <w:r>
              <w:rPr>
                <w:spacing w:val="40"/>
                <w:sz w:val="18"/>
                <w:u w:val="single"/>
              </w:rPr>
              <w:t> </w:t>
            </w:r>
          </w:p>
        </w:tc>
        <w:tc>
          <w:tcPr>
            <w:tcW w:w="4156" w:type="dxa"/>
          </w:tcPr>
          <w:p>
            <w:pPr>
              <w:pStyle w:val="TableParagraph"/>
              <w:spacing w:before="17"/>
              <w:ind w:left="389"/>
              <w:rPr>
                <w:sz w:val="18"/>
              </w:rPr>
            </w:pPr>
            <w:r>
              <w:rPr>
                <w:sz w:val="18"/>
              </w:rPr>
              <w:t>Plano</w:t>
            </w:r>
            <w:r>
              <w:rPr>
                <w:spacing w:val="-1"/>
                <w:sz w:val="18"/>
              </w:rPr>
              <w:t> </w:t>
            </w:r>
            <w:r>
              <w:rPr>
                <w:sz w:val="18"/>
              </w:rPr>
              <w:t>de </w:t>
            </w:r>
            <w:r>
              <w:rPr>
                <w:spacing w:val="-2"/>
                <w:sz w:val="18"/>
              </w:rPr>
              <w:t>saúde</w:t>
            </w:r>
          </w:p>
        </w:tc>
        <w:tc>
          <w:tcPr>
            <w:tcW w:w="3503" w:type="dxa"/>
            <w:gridSpan w:val="3"/>
          </w:tcPr>
          <w:p>
            <w:pPr>
              <w:pStyle w:val="TableParagraph"/>
              <w:tabs>
                <w:tab w:pos="1598" w:val="left" w:leader="none"/>
                <w:tab w:pos="2563" w:val="left" w:leader="none"/>
              </w:tabs>
              <w:spacing w:before="37"/>
              <w:ind w:right="50"/>
              <w:jc w:val="right"/>
              <w:rPr>
                <w:sz w:val="18"/>
              </w:rPr>
            </w:pPr>
            <w:r>
              <w:rPr>
                <w:spacing w:val="-4"/>
                <w:sz w:val="18"/>
              </w:rPr>
              <w:t>11.4</w:t>
            </w:r>
            <w:r>
              <w:rPr>
                <w:rFonts w:ascii="Times New Roman" w:hAnsi="Times New Roman"/>
                <w:sz w:val="18"/>
                <w:u w:val="single"/>
              </w:rPr>
              <w:tab/>
            </w:r>
            <w:r>
              <w:rPr>
                <w:spacing w:val="-10"/>
                <w:sz w:val="18"/>
                <w:u w:val="single"/>
              </w:rPr>
              <w:t>‐</w:t>
            </w:r>
            <w:r>
              <w:rPr>
                <w:sz w:val="18"/>
                <w:u w:val="single"/>
              </w:rPr>
              <w:tab/>
            </w:r>
            <w:r>
              <w:rPr>
                <w:spacing w:val="-2"/>
                <w:sz w:val="18"/>
                <w:u w:val="single"/>
              </w:rPr>
              <w:t>1.354</w:t>
            </w:r>
            <w:r>
              <w:rPr>
                <w:spacing w:val="40"/>
                <w:sz w:val="18"/>
                <w:u w:val="single"/>
              </w:rPr>
              <w:t> </w:t>
            </w:r>
          </w:p>
          <w:p>
            <w:pPr>
              <w:pStyle w:val="TableParagraph"/>
              <w:tabs>
                <w:tab w:pos="863" w:val="left" w:leader="none"/>
                <w:tab w:pos="2093" w:val="left" w:leader="none"/>
              </w:tabs>
              <w:spacing w:line="196" w:lineRule="exact" w:before="37"/>
              <w:ind w:right="49"/>
              <w:jc w:val="right"/>
              <w:rPr>
                <w:sz w:val="18"/>
              </w:rPr>
            </w:pPr>
            <w:r>
              <w:rPr>
                <w:rFonts w:ascii="Times New Roman"/>
                <w:sz w:val="18"/>
                <w:u w:val="single"/>
              </w:rPr>
              <w:tab/>
            </w:r>
            <w:r>
              <w:rPr>
                <w:spacing w:val="-2"/>
                <w:sz w:val="18"/>
                <w:u w:val="single"/>
              </w:rPr>
              <w:t>1.851</w:t>
            </w:r>
            <w:r>
              <w:rPr>
                <w:sz w:val="18"/>
                <w:u w:val="single"/>
              </w:rPr>
              <w:tab/>
            </w:r>
            <w:r>
              <w:rPr>
                <w:spacing w:val="-2"/>
                <w:sz w:val="18"/>
                <w:u w:val="single"/>
              </w:rPr>
              <w:t>23.038</w:t>
            </w:r>
            <w:r>
              <w:rPr>
                <w:spacing w:val="40"/>
                <w:sz w:val="18"/>
                <w:u w:val="single"/>
              </w:rPr>
              <w:t> </w:t>
            </w:r>
          </w:p>
        </w:tc>
      </w:tr>
    </w:tbl>
    <w:p>
      <w:pPr>
        <w:pStyle w:val="BodyText"/>
        <w:spacing w:before="72"/>
        <w:rPr>
          <w:i/>
          <w:sz w:val="18"/>
        </w:rPr>
      </w:pPr>
    </w:p>
    <w:p>
      <w:pPr>
        <w:spacing w:before="0"/>
        <w:ind w:left="199" w:right="0" w:firstLine="0"/>
        <w:jc w:val="left"/>
        <w:rPr>
          <w:b/>
          <w:sz w:val="18"/>
        </w:rPr>
      </w:pPr>
      <w:r>
        <w:rPr>
          <w:b/>
          <w:sz w:val="18"/>
        </w:rPr>
        <w:t>Não </w:t>
      </w:r>
      <w:r>
        <w:rPr>
          <w:b/>
          <w:spacing w:val="-2"/>
          <w:sz w:val="18"/>
        </w:rPr>
        <w:t>circulante</w:t>
      </w:r>
    </w:p>
    <w:p>
      <w:pPr>
        <w:tabs>
          <w:tab w:pos="7894" w:val="left" w:leader="none"/>
        </w:tabs>
        <w:spacing w:before="52"/>
        <w:ind w:left="199" w:right="0" w:firstLine="0"/>
        <w:jc w:val="left"/>
        <w:rPr>
          <w:b/>
          <w:sz w:val="18"/>
        </w:rPr>
      </w:pPr>
      <w:r>
        <w:rPr>
          <w:sz w:val="18"/>
        </w:rPr>
        <w:t>Realizável</w:t>
      </w:r>
      <w:r>
        <w:rPr>
          <w:spacing w:val="-4"/>
          <w:sz w:val="18"/>
        </w:rPr>
        <w:t> </w:t>
      </w:r>
      <w:r>
        <w:rPr>
          <w:sz w:val="18"/>
        </w:rPr>
        <w:t>a</w:t>
      </w:r>
      <w:r>
        <w:rPr>
          <w:spacing w:val="-8"/>
          <w:sz w:val="18"/>
        </w:rPr>
        <w:t> </w:t>
      </w:r>
      <w:r>
        <w:rPr>
          <w:sz w:val="18"/>
        </w:rPr>
        <w:t>longo</w:t>
      </w:r>
      <w:r>
        <w:rPr>
          <w:spacing w:val="-4"/>
          <w:sz w:val="18"/>
        </w:rPr>
        <w:t> </w:t>
      </w:r>
      <w:r>
        <w:rPr>
          <w:spacing w:val="-2"/>
          <w:sz w:val="18"/>
        </w:rPr>
        <w:t>prazo</w:t>
      </w:r>
      <w:r>
        <w:rPr>
          <w:sz w:val="18"/>
        </w:rPr>
        <w:tab/>
      </w:r>
      <w:r>
        <w:rPr>
          <w:b/>
          <w:sz w:val="18"/>
        </w:rPr>
        <w:t>Não</w:t>
      </w:r>
      <w:r>
        <w:rPr>
          <w:b/>
          <w:spacing w:val="-3"/>
          <w:sz w:val="18"/>
        </w:rPr>
        <w:t> </w:t>
      </w:r>
      <w:r>
        <w:rPr>
          <w:b/>
          <w:spacing w:val="-2"/>
          <w:sz w:val="18"/>
        </w:rPr>
        <w:t>circulante</w:t>
      </w:r>
    </w:p>
    <w:p>
      <w:pPr>
        <w:tabs>
          <w:tab w:pos="4664" w:val="left" w:leader="none"/>
          <w:tab w:pos="5654" w:val="left" w:leader="none"/>
          <w:tab w:pos="6881" w:val="left" w:leader="none"/>
          <w:tab w:pos="8102" w:val="left" w:leader="none"/>
          <w:tab w:pos="12286" w:val="left" w:leader="none"/>
          <w:tab w:pos="13667" w:val="left" w:leader="none"/>
          <w:tab w:pos="15261" w:val="right" w:leader="none"/>
        </w:tabs>
        <w:spacing w:before="48"/>
        <w:ind w:left="321" w:right="0" w:firstLine="0"/>
        <w:jc w:val="left"/>
        <w:rPr>
          <w:sz w:val="18"/>
        </w:rPr>
      </w:pPr>
      <w:r>
        <w:rPr>
          <w:sz w:val="18"/>
        </w:rPr>
        <w:t>Impostos</w:t>
      </w:r>
      <w:r>
        <w:rPr>
          <w:spacing w:val="-3"/>
          <w:sz w:val="18"/>
        </w:rPr>
        <w:t> </w:t>
      </w:r>
      <w:r>
        <w:rPr>
          <w:sz w:val="18"/>
        </w:rPr>
        <w:t>e</w:t>
      </w:r>
      <w:r>
        <w:rPr>
          <w:spacing w:val="-2"/>
          <w:sz w:val="18"/>
        </w:rPr>
        <w:t> contribuições</w:t>
      </w:r>
      <w:r>
        <w:rPr>
          <w:sz w:val="18"/>
        </w:rPr>
        <w:tab/>
      </w:r>
      <w:r>
        <w:rPr>
          <w:spacing w:val="-4"/>
          <w:position w:val="-3"/>
          <w:sz w:val="18"/>
        </w:rPr>
        <w:t>10.1</w:t>
      </w:r>
      <w:r>
        <w:rPr>
          <w:position w:val="-3"/>
          <w:sz w:val="18"/>
        </w:rPr>
        <w:tab/>
      </w:r>
      <w:r>
        <w:rPr>
          <w:spacing w:val="-2"/>
          <w:position w:val="-3"/>
          <w:sz w:val="18"/>
        </w:rPr>
        <w:t>52.078</w:t>
      </w:r>
      <w:r>
        <w:rPr>
          <w:position w:val="-3"/>
          <w:sz w:val="18"/>
        </w:rPr>
        <w:tab/>
      </w:r>
      <w:r>
        <w:rPr>
          <w:spacing w:val="-2"/>
          <w:position w:val="-3"/>
          <w:sz w:val="18"/>
        </w:rPr>
        <w:t>145.415</w:t>
      </w:r>
      <w:r>
        <w:rPr>
          <w:position w:val="-3"/>
          <w:sz w:val="18"/>
        </w:rPr>
        <w:tab/>
      </w:r>
      <w:r>
        <w:rPr>
          <w:sz w:val="18"/>
        </w:rPr>
        <w:t>Provisão</w:t>
      </w:r>
      <w:r>
        <w:rPr>
          <w:spacing w:val="-5"/>
          <w:sz w:val="18"/>
        </w:rPr>
        <w:t> </w:t>
      </w:r>
      <w:r>
        <w:rPr>
          <w:sz w:val="18"/>
        </w:rPr>
        <w:t>para</w:t>
      </w:r>
      <w:r>
        <w:rPr>
          <w:spacing w:val="-6"/>
          <w:sz w:val="18"/>
        </w:rPr>
        <w:t> </w:t>
      </w:r>
      <w:r>
        <w:rPr>
          <w:sz w:val="18"/>
        </w:rPr>
        <w:t>processos</w:t>
      </w:r>
      <w:r>
        <w:rPr>
          <w:spacing w:val="-5"/>
          <w:sz w:val="18"/>
        </w:rPr>
        <w:t> </w:t>
      </w:r>
      <w:r>
        <w:rPr>
          <w:spacing w:val="-2"/>
          <w:sz w:val="18"/>
        </w:rPr>
        <w:t>judiciais</w:t>
      </w:r>
      <w:r>
        <w:rPr>
          <w:sz w:val="18"/>
        </w:rPr>
        <w:tab/>
      </w:r>
      <w:r>
        <w:rPr>
          <w:spacing w:val="-4"/>
          <w:position w:val="-3"/>
          <w:sz w:val="18"/>
        </w:rPr>
        <w:t>16.1</w:t>
      </w:r>
      <w:r>
        <w:rPr>
          <w:position w:val="-3"/>
          <w:sz w:val="18"/>
        </w:rPr>
        <w:tab/>
      </w:r>
      <w:r>
        <w:rPr>
          <w:spacing w:val="-5"/>
          <w:position w:val="-3"/>
          <w:sz w:val="18"/>
        </w:rPr>
        <w:t>409</w:t>
      </w:r>
      <w:r>
        <w:rPr>
          <w:rFonts w:ascii="Times New Roman" w:hAnsi="Times New Roman"/>
          <w:position w:val="-3"/>
          <w:sz w:val="18"/>
        </w:rPr>
        <w:tab/>
      </w:r>
      <w:r>
        <w:rPr>
          <w:spacing w:val="-2"/>
          <w:position w:val="-3"/>
          <w:sz w:val="18"/>
        </w:rPr>
        <w:t>1.743</w:t>
      </w:r>
    </w:p>
    <w:p>
      <w:pPr>
        <w:tabs>
          <w:tab w:pos="4664" w:val="left" w:leader="none"/>
          <w:tab w:pos="5746" w:val="left" w:leader="none"/>
          <w:tab w:pos="7200" w:val="left" w:leader="none"/>
          <w:tab w:pos="8102" w:val="left" w:leader="none"/>
          <w:tab w:pos="12666" w:val="left" w:leader="none"/>
          <w:tab w:pos="13667" w:val="left" w:leader="none"/>
          <w:tab w:pos="15078" w:val="left" w:leader="none"/>
        </w:tabs>
        <w:spacing w:before="0"/>
        <w:ind w:left="320" w:right="0" w:firstLine="0"/>
        <w:jc w:val="left"/>
        <w:rPr>
          <w:sz w:val="18"/>
        </w:rPr>
      </w:pPr>
      <w:r>
        <w:rPr>
          <w:spacing w:val="-2"/>
          <w:sz w:val="18"/>
        </w:rPr>
        <w:t>Depósitos</w:t>
      </w:r>
      <w:r>
        <w:rPr>
          <w:spacing w:val="7"/>
          <w:sz w:val="18"/>
        </w:rPr>
        <w:t> </w:t>
      </w:r>
      <w:r>
        <w:rPr>
          <w:spacing w:val="-2"/>
          <w:sz w:val="18"/>
        </w:rPr>
        <w:t>judiciais</w:t>
      </w:r>
      <w:r>
        <w:rPr>
          <w:sz w:val="18"/>
        </w:rPr>
        <w:tab/>
      </w:r>
      <w:r>
        <w:rPr>
          <w:spacing w:val="-4"/>
          <w:position w:val="-3"/>
          <w:sz w:val="18"/>
        </w:rPr>
        <w:t>16.1</w:t>
      </w:r>
      <w:r>
        <w:rPr>
          <w:rFonts w:ascii="Times New Roman" w:hAnsi="Times New Roman"/>
          <w:position w:val="-3"/>
          <w:sz w:val="18"/>
          <w:u w:val="single"/>
        </w:rPr>
        <w:tab/>
      </w:r>
      <w:r>
        <w:rPr>
          <w:spacing w:val="-2"/>
          <w:position w:val="-3"/>
          <w:sz w:val="18"/>
          <w:u w:val="single"/>
        </w:rPr>
        <w:t>3.897</w:t>
      </w:r>
      <w:r>
        <w:rPr>
          <w:position w:val="-3"/>
          <w:sz w:val="18"/>
          <w:u w:val="single"/>
        </w:rPr>
        <w:tab/>
      </w:r>
      <w:r>
        <w:rPr>
          <w:spacing w:val="-5"/>
          <w:position w:val="-3"/>
          <w:sz w:val="18"/>
          <w:u w:val="single"/>
        </w:rPr>
        <w:t>315</w:t>
      </w:r>
      <w:r>
        <w:rPr>
          <w:position w:val="-3"/>
          <w:sz w:val="18"/>
        </w:rPr>
        <w:tab/>
      </w:r>
      <w:r>
        <w:rPr>
          <w:sz w:val="18"/>
        </w:rPr>
        <w:t>Outras</w:t>
      </w:r>
      <w:r>
        <w:rPr>
          <w:spacing w:val="-5"/>
          <w:sz w:val="18"/>
        </w:rPr>
        <w:t> </w:t>
      </w:r>
      <w:r>
        <w:rPr>
          <w:sz w:val="18"/>
        </w:rPr>
        <w:t>contas</w:t>
      </w:r>
      <w:r>
        <w:rPr>
          <w:spacing w:val="-2"/>
          <w:sz w:val="18"/>
        </w:rPr>
        <w:t> </w:t>
      </w:r>
      <w:r>
        <w:rPr>
          <w:sz w:val="18"/>
        </w:rPr>
        <w:t>e</w:t>
      </w:r>
      <w:r>
        <w:rPr>
          <w:spacing w:val="-2"/>
          <w:sz w:val="18"/>
        </w:rPr>
        <w:t> </w:t>
      </w:r>
      <w:r>
        <w:rPr>
          <w:sz w:val="18"/>
        </w:rPr>
        <w:t>despesas</w:t>
      </w:r>
      <w:r>
        <w:rPr>
          <w:spacing w:val="-9"/>
          <w:sz w:val="18"/>
        </w:rPr>
        <w:t> </w:t>
      </w:r>
      <w:r>
        <w:rPr>
          <w:sz w:val="18"/>
        </w:rPr>
        <w:t>a</w:t>
      </w:r>
      <w:r>
        <w:rPr>
          <w:spacing w:val="-2"/>
          <w:sz w:val="18"/>
        </w:rPr>
        <w:t> pagar</w:t>
      </w:r>
      <w:r>
        <w:rPr>
          <w:sz w:val="18"/>
        </w:rPr>
        <w:tab/>
      </w:r>
      <w:r>
        <w:rPr>
          <w:rFonts w:ascii="Times New Roman" w:hAnsi="Times New Roman"/>
          <w:position w:val="-3"/>
          <w:sz w:val="18"/>
          <w:u w:val="single"/>
        </w:rPr>
        <w:tab/>
      </w:r>
      <w:r>
        <w:rPr>
          <w:spacing w:val="-5"/>
          <w:position w:val="-3"/>
          <w:sz w:val="18"/>
          <w:u w:val="single"/>
        </w:rPr>
        <w:t>565</w:t>
      </w:r>
      <w:r>
        <w:rPr>
          <w:position w:val="-3"/>
          <w:sz w:val="18"/>
          <w:u w:val="single"/>
        </w:rPr>
        <w:tab/>
      </w:r>
      <w:r>
        <w:rPr>
          <w:spacing w:val="-5"/>
          <w:position w:val="-3"/>
          <w:sz w:val="18"/>
          <w:u w:val="single"/>
        </w:rPr>
        <w:t>28</w:t>
      </w:r>
      <w:r>
        <w:rPr>
          <w:spacing w:val="40"/>
          <w:position w:val="-3"/>
          <w:sz w:val="18"/>
          <w:u w:val="single"/>
        </w:rPr>
        <w:t> </w:t>
      </w:r>
    </w:p>
    <w:p>
      <w:pPr>
        <w:tabs>
          <w:tab w:pos="6886" w:val="left" w:leader="none"/>
          <w:tab w:pos="13672" w:val="left" w:leader="none"/>
          <w:tab w:pos="14855" w:val="left" w:leader="none"/>
        </w:tabs>
        <w:spacing w:line="219" w:lineRule="exact" w:before="51"/>
        <w:ind w:left="5659" w:right="0" w:firstLine="0"/>
        <w:jc w:val="left"/>
        <w:rPr>
          <w:sz w:val="18"/>
        </w:rPr>
      </w:pPr>
      <w:r>
        <w:rPr>
          <w:spacing w:val="-2"/>
          <w:sz w:val="18"/>
        </w:rPr>
        <w:t>55.975</w:t>
      </w:r>
      <w:r>
        <w:rPr>
          <w:sz w:val="18"/>
        </w:rPr>
        <w:tab/>
      </w:r>
      <w:r>
        <w:rPr>
          <w:spacing w:val="-2"/>
          <w:sz w:val="18"/>
        </w:rPr>
        <w:t>145.730</w:t>
      </w:r>
      <w:r>
        <w:rPr>
          <w:sz w:val="18"/>
        </w:rPr>
        <w:tab/>
      </w:r>
      <w:r>
        <w:rPr>
          <w:spacing w:val="-5"/>
          <w:sz w:val="18"/>
        </w:rPr>
        <w:t>974</w:t>
      </w:r>
      <w:r>
        <w:rPr>
          <w:sz w:val="18"/>
        </w:rPr>
        <w:tab/>
      </w:r>
      <w:r>
        <w:rPr>
          <w:spacing w:val="-2"/>
          <w:sz w:val="18"/>
        </w:rPr>
        <w:t>1.771</w:t>
      </w:r>
    </w:p>
    <w:p>
      <w:pPr>
        <w:tabs>
          <w:tab w:pos="12605" w:val="right" w:leader="none"/>
        </w:tabs>
        <w:spacing w:line="228" w:lineRule="auto" w:before="5"/>
        <w:ind w:left="7894" w:right="0" w:firstLine="0"/>
        <w:jc w:val="left"/>
        <w:rPr>
          <w:sz w:val="18"/>
        </w:rPr>
      </w:pPr>
      <w:r>
        <w:rPr>
          <w:b/>
          <w:sz w:val="18"/>
        </w:rPr>
        <w:t>Patrimônio</w:t>
      </w:r>
      <w:r>
        <w:rPr>
          <w:b/>
          <w:spacing w:val="-4"/>
          <w:sz w:val="18"/>
        </w:rPr>
        <w:t> </w:t>
      </w:r>
      <w:r>
        <w:rPr>
          <w:b/>
          <w:spacing w:val="-2"/>
          <w:sz w:val="18"/>
        </w:rPr>
        <w:t>líquido</w:t>
      </w:r>
      <w:r>
        <w:rPr>
          <w:rFonts w:ascii="Times New Roman" w:hAnsi="Times New Roman"/>
          <w:sz w:val="18"/>
        </w:rPr>
        <w:tab/>
      </w:r>
      <w:r>
        <w:rPr>
          <w:spacing w:val="-5"/>
          <w:position w:val="-3"/>
          <w:sz w:val="18"/>
        </w:rPr>
        <w:t>12</w:t>
      </w:r>
    </w:p>
    <w:p>
      <w:pPr>
        <w:tabs>
          <w:tab w:pos="13211" w:val="left" w:leader="none"/>
          <w:tab w:pos="15261" w:val="right" w:leader="none"/>
        </w:tabs>
        <w:spacing w:line="266" w:lineRule="exact" w:before="0"/>
        <w:ind w:left="8103" w:right="0" w:firstLine="0"/>
        <w:jc w:val="left"/>
        <w:rPr>
          <w:sz w:val="18"/>
        </w:rPr>
      </w:pPr>
      <w:r>
        <w:rPr>
          <w:position w:val="5"/>
          <w:sz w:val="18"/>
        </w:rPr>
        <w:t>Capital</w:t>
      </w:r>
      <w:r>
        <w:rPr>
          <w:spacing w:val="-10"/>
          <w:position w:val="5"/>
          <w:sz w:val="18"/>
        </w:rPr>
        <w:t> </w:t>
      </w:r>
      <w:r>
        <w:rPr>
          <w:spacing w:val="-2"/>
          <w:position w:val="5"/>
          <w:sz w:val="18"/>
        </w:rPr>
        <w:t>social</w:t>
      </w:r>
      <w:r>
        <w:rPr>
          <w:position w:val="5"/>
          <w:sz w:val="18"/>
        </w:rPr>
        <w:tab/>
      </w:r>
      <w:r>
        <w:rPr>
          <w:spacing w:val="-2"/>
          <w:sz w:val="18"/>
        </w:rPr>
        <w:t>2.461.721</w:t>
      </w:r>
      <w:r>
        <w:rPr>
          <w:rFonts w:ascii="Times New Roman"/>
          <w:sz w:val="18"/>
        </w:rPr>
        <w:tab/>
      </w:r>
      <w:r>
        <w:rPr>
          <w:spacing w:val="-2"/>
          <w:sz w:val="18"/>
        </w:rPr>
        <w:t>2.497.051</w:t>
      </w:r>
    </w:p>
    <w:p>
      <w:pPr>
        <w:tabs>
          <w:tab w:pos="12666" w:val="left" w:leader="none"/>
          <w:tab w:pos="13103" w:val="left" w:leader="none"/>
          <w:tab w:pos="13331" w:val="left" w:leader="none"/>
          <w:tab w:pos="14423" w:val="left" w:leader="none"/>
          <w:tab w:pos="14651" w:val="left" w:leader="none"/>
        </w:tabs>
        <w:spacing w:before="6"/>
        <w:ind w:left="8103" w:right="158" w:firstLine="0"/>
        <w:jc w:val="right"/>
        <w:rPr>
          <w:sz w:val="18"/>
        </w:rPr>
      </w:pPr>
      <w:r>
        <w:rPr>
          <w:sz w:val="18"/>
        </w:rPr>
        <w:t>Outros resultados abrangentes</w:t>
        <w:tab/>
        <w:tab/>
        <w:tab/>
      </w:r>
      <w:r>
        <w:rPr>
          <w:spacing w:val="-2"/>
          <w:position w:val="-3"/>
          <w:sz w:val="18"/>
        </w:rPr>
        <w:t>(64.895)</w:t>
      </w:r>
      <w:r>
        <w:rPr>
          <w:position w:val="-3"/>
          <w:sz w:val="18"/>
        </w:rPr>
        <w:tab/>
        <w:tab/>
      </w:r>
      <w:r>
        <w:rPr>
          <w:spacing w:val="-2"/>
          <w:position w:val="-3"/>
          <w:sz w:val="18"/>
        </w:rPr>
        <w:t>(64.895)</w:t>
      </w:r>
      <w:r>
        <w:rPr>
          <w:position w:val="-3"/>
          <w:sz w:val="18"/>
        </w:rPr>
        <w:t> </w:t>
      </w:r>
      <w:r>
        <w:rPr>
          <w:position w:val="5"/>
          <w:sz w:val="18"/>
        </w:rPr>
        <w:t>Prejuízos</w:t>
      </w:r>
      <w:r>
        <w:rPr>
          <w:spacing w:val="-7"/>
          <w:position w:val="5"/>
          <w:sz w:val="18"/>
        </w:rPr>
        <w:t> </w:t>
      </w:r>
      <w:r>
        <w:rPr>
          <w:spacing w:val="-2"/>
          <w:position w:val="5"/>
          <w:sz w:val="18"/>
        </w:rPr>
        <w:t>acumulados</w:t>
      </w:r>
      <w:r>
        <w:rPr>
          <w:position w:val="5"/>
          <w:sz w:val="18"/>
        </w:rPr>
        <w:tab/>
      </w:r>
      <w:r>
        <w:rPr>
          <w:rFonts w:ascii="Times New Roman" w:hAnsi="Times New Roman"/>
          <w:sz w:val="18"/>
          <w:u w:val="single"/>
        </w:rPr>
        <w:tab/>
      </w:r>
      <w:r>
        <w:rPr>
          <w:spacing w:val="-2"/>
          <w:sz w:val="18"/>
          <w:u w:val="single"/>
        </w:rPr>
        <w:t>(2.234.672)</w:t>
      </w:r>
      <w:r>
        <w:rPr>
          <w:sz w:val="18"/>
          <w:u w:val="single"/>
        </w:rPr>
        <w:tab/>
      </w:r>
      <w:r>
        <w:rPr>
          <w:spacing w:val="-2"/>
          <w:sz w:val="18"/>
          <w:u w:val="single"/>
        </w:rPr>
        <w:t>(2.236.144)</w:t>
      </w:r>
      <w:r>
        <w:rPr>
          <w:spacing w:val="40"/>
          <w:sz w:val="18"/>
          <w:u w:val="single"/>
        </w:rPr>
        <w:t> </w:t>
      </w:r>
    </w:p>
    <w:p>
      <w:pPr>
        <w:tabs>
          <w:tab w:pos="681" w:val="left" w:leader="none"/>
          <w:tab w:pos="2001" w:val="left" w:leader="none"/>
        </w:tabs>
        <w:spacing w:before="50"/>
        <w:ind w:left="0" w:right="151" w:firstLine="0"/>
        <w:jc w:val="right"/>
        <w:rPr>
          <w:sz w:val="18"/>
        </w:rPr>
      </w:pPr>
      <w:r>
        <w:rPr>
          <w:rFonts w:ascii="Times New Roman"/>
          <w:sz w:val="18"/>
          <w:u w:val="single"/>
        </w:rPr>
        <w:tab/>
      </w:r>
      <w:r>
        <w:rPr>
          <w:spacing w:val="-2"/>
          <w:sz w:val="18"/>
          <w:u w:val="single"/>
        </w:rPr>
        <w:t>162.154</w:t>
      </w:r>
      <w:r>
        <w:rPr>
          <w:sz w:val="18"/>
          <w:u w:val="single"/>
        </w:rPr>
        <w:tab/>
      </w:r>
      <w:r>
        <w:rPr>
          <w:spacing w:val="-2"/>
          <w:sz w:val="18"/>
          <w:u w:val="single"/>
        </w:rPr>
        <w:t>196.012</w:t>
      </w:r>
    </w:p>
    <w:p>
      <w:pPr>
        <w:tabs>
          <w:tab w:pos="5563" w:val="left" w:leader="none"/>
          <w:tab w:pos="6881" w:val="left" w:leader="none"/>
          <w:tab w:pos="7894" w:val="left" w:leader="none"/>
          <w:tab w:pos="13348" w:val="left" w:leader="none"/>
          <w:tab w:pos="15261" w:val="right" w:leader="none"/>
        </w:tabs>
        <w:spacing w:before="551"/>
        <w:ind w:left="199" w:right="0" w:firstLine="0"/>
        <w:jc w:val="left"/>
        <w:rPr>
          <w:sz w:val="18"/>
        </w:rPr>
      </w:pPr>
      <w:r>
        <w:rPr/>
        <mc:AlternateContent>
          <mc:Choice Requires="wps">
            <w:drawing>
              <wp:anchor distT="0" distB="0" distL="0" distR="0" allowOverlap="1" layoutInCell="1" locked="0" behindDoc="0" simplePos="0" relativeHeight="15735296">
                <wp:simplePos x="0" y="0"/>
                <wp:positionH relativeFrom="page">
                  <wp:posOffset>3572903</wp:posOffset>
                </wp:positionH>
                <wp:positionV relativeFrom="paragraph">
                  <wp:posOffset>342808</wp:posOffset>
                </wp:positionV>
                <wp:extent cx="1579880" cy="6985"/>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579880" cy="6985"/>
                          <a:chExt cx="1579880" cy="6985"/>
                        </a:xfrm>
                      </wpg:grpSpPr>
                      <wps:wsp>
                        <wps:cNvPr id="26" name="Graphic 26"/>
                        <wps:cNvSpPr/>
                        <wps:spPr>
                          <a:xfrm>
                            <a:off x="0" y="3810"/>
                            <a:ext cx="741680" cy="1270"/>
                          </a:xfrm>
                          <a:custGeom>
                            <a:avLst/>
                            <a:gdLst/>
                            <a:ahLst/>
                            <a:cxnLst/>
                            <a:rect l="l" t="t" r="r" b="b"/>
                            <a:pathLst>
                              <a:path w="741680" h="0">
                                <a:moveTo>
                                  <a:pt x="0" y="0"/>
                                </a:moveTo>
                                <a:lnTo>
                                  <a:pt x="741426" y="0"/>
                                </a:lnTo>
                              </a:path>
                            </a:pathLst>
                          </a:custGeom>
                          <a:ln w="6096">
                            <a:solidFill>
                              <a:srgbClr val="000000"/>
                            </a:solidFill>
                            <a:prstDash val="solid"/>
                          </a:ln>
                        </wps:spPr>
                        <wps:bodyPr wrap="square" lIns="0" tIns="0" rIns="0" bIns="0" rtlCol="0">
                          <a:prstTxWarp prst="textNoShape">
                            <a:avLst/>
                          </a:prstTxWarp>
                          <a:noAutofit/>
                        </wps:bodyPr>
                      </wps:wsp>
                      <wps:wsp>
                        <wps:cNvPr id="27" name="Graphic 27"/>
                        <wps:cNvSpPr/>
                        <wps:spPr>
                          <a:xfrm>
                            <a:off x="742187" y="0"/>
                            <a:ext cx="6350" cy="6350"/>
                          </a:xfrm>
                          <a:custGeom>
                            <a:avLst/>
                            <a:gdLst/>
                            <a:ahLst/>
                            <a:cxnLst/>
                            <a:rect l="l" t="t" r="r" b="b"/>
                            <a:pathLst>
                              <a:path w="6350" h="6350">
                                <a:moveTo>
                                  <a:pt x="6096" y="6096"/>
                                </a:moveTo>
                                <a:lnTo>
                                  <a:pt x="6096" y="0"/>
                                </a:lnTo>
                                <a:lnTo>
                                  <a:pt x="0" y="0"/>
                                </a:lnTo>
                                <a:lnTo>
                                  <a:pt x="0" y="6096"/>
                                </a:lnTo>
                                <a:lnTo>
                                  <a:pt x="6096" y="6096"/>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748283" y="3810"/>
                            <a:ext cx="831850" cy="1270"/>
                          </a:xfrm>
                          <a:custGeom>
                            <a:avLst/>
                            <a:gdLst/>
                            <a:ahLst/>
                            <a:cxnLst/>
                            <a:rect l="l" t="t" r="r" b="b"/>
                            <a:pathLst>
                              <a:path w="831850" h="0">
                                <a:moveTo>
                                  <a:pt x="0" y="0"/>
                                </a:moveTo>
                                <a:lnTo>
                                  <a:pt x="831341"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1.330994pt;margin-top:26.992807pt;width:124.4pt;height:.550pt;mso-position-horizontal-relative:page;mso-position-vertical-relative:paragraph;z-index:15735296" id="docshapegroup21" coordorigin="5627,540" coordsize="2488,11">
                <v:line style="position:absolute" from="5627,546" to="6794,546" stroked="true" strokeweight=".48pt" strokecolor="#000000">
                  <v:stroke dashstyle="solid"/>
                </v:line>
                <v:rect style="position:absolute;left:6795;top:539;width:10;height:10" id="docshape22" filled="true" fillcolor="#000000" stroked="false">
                  <v:fill type="solid"/>
                </v:rect>
                <v:line style="position:absolute" from="6805,546" to="8114,546" stroked="true" strokeweight=".48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5808">
                <wp:simplePos x="0" y="0"/>
                <wp:positionH relativeFrom="page">
                  <wp:posOffset>8412365</wp:posOffset>
                </wp:positionH>
                <wp:positionV relativeFrom="paragraph">
                  <wp:posOffset>342808</wp:posOffset>
                </wp:positionV>
                <wp:extent cx="1685925" cy="698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1685925" cy="6985"/>
                          <a:chExt cx="1685925" cy="6985"/>
                        </a:xfrm>
                      </wpg:grpSpPr>
                      <wps:wsp>
                        <wps:cNvPr id="30" name="Graphic 30"/>
                        <wps:cNvSpPr/>
                        <wps:spPr>
                          <a:xfrm>
                            <a:off x="0" y="3810"/>
                            <a:ext cx="847725" cy="1270"/>
                          </a:xfrm>
                          <a:custGeom>
                            <a:avLst/>
                            <a:gdLst/>
                            <a:ahLst/>
                            <a:cxnLst/>
                            <a:rect l="l" t="t" r="r" b="b"/>
                            <a:pathLst>
                              <a:path w="847725" h="0">
                                <a:moveTo>
                                  <a:pt x="0" y="0"/>
                                </a:moveTo>
                                <a:lnTo>
                                  <a:pt x="847344" y="0"/>
                                </a:lnTo>
                              </a:path>
                            </a:pathLst>
                          </a:custGeom>
                          <a:ln w="6096">
                            <a:solidFill>
                              <a:srgbClr val="000000"/>
                            </a:solidFill>
                            <a:prstDash val="solid"/>
                          </a:ln>
                        </wps:spPr>
                        <wps:bodyPr wrap="square" lIns="0" tIns="0" rIns="0" bIns="0" rtlCol="0">
                          <a:prstTxWarp prst="textNoShape">
                            <a:avLst/>
                          </a:prstTxWarp>
                          <a:noAutofit/>
                        </wps:bodyPr>
                      </wps:wsp>
                      <wps:wsp>
                        <wps:cNvPr id="31" name="Graphic 31"/>
                        <wps:cNvSpPr/>
                        <wps:spPr>
                          <a:xfrm>
                            <a:off x="847331" y="0"/>
                            <a:ext cx="6350" cy="6350"/>
                          </a:xfrm>
                          <a:custGeom>
                            <a:avLst/>
                            <a:gdLst/>
                            <a:ahLst/>
                            <a:cxnLst/>
                            <a:rect l="l" t="t" r="r" b="b"/>
                            <a:pathLst>
                              <a:path w="6350" h="6350">
                                <a:moveTo>
                                  <a:pt x="6096" y="6096"/>
                                </a:moveTo>
                                <a:lnTo>
                                  <a:pt x="6096" y="0"/>
                                </a:lnTo>
                                <a:lnTo>
                                  <a:pt x="0" y="0"/>
                                </a:lnTo>
                                <a:lnTo>
                                  <a:pt x="0" y="6096"/>
                                </a:lnTo>
                                <a:lnTo>
                                  <a:pt x="6096" y="6096"/>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853439" y="3810"/>
                            <a:ext cx="832485" cy="1270"/>
                          </a:xfrm>
                          <a:custGeom>
                            <a:avLst/>
                            <a:gdLst/>
                            <a:ahLst/>
                            <a:cxnLst/>
                            <a:rect l="l" t="t" r="r" b="b"/>
                            <a:pathLst>
                              <a:path w="832485" h="0">
                                <a:moveTo>
                                  <a:pt x="0" y="0"/>
                                </a:moveTo>
                                <a:lnTo>
                                  <a:pt x="832104" y="0"/>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2.390991pt;margin-top:26.992807pt;width:132.75pt;height:.550pt;mso-position-horizontal-relative:page;mso-position-vertical-relative:paragraph;z-index:15735808" id="docshapegroup23" coordorigin="13248,540" coordsize="2655,11">
                <v:line style="position:absolute" from="13248,546" to="14582,546" stroked="true" strokeweight=".48pt" strokecolor="#000000">
                  <v:stroke dashstyle="solid"/>
                </v:line>
                <v:rect style="position:absolute;left:14582;top:539;width:10;height:10" id="docshape24" filled="true" fillcolor="#000000" stroked="false">
                  <v:fill type="solid"/>
                </v:rect>
                <v:line style="position:absolute" from="14592,546" to="15902,546" stroked="true" strokeweight=".48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3572903</wp:posOffset>
                </wp:positionH>
                <wp:positionV relativeFrom="paragraph">
                  <wp:posOffset>515782</wp:posOffset>
                </wp:positionV>
                <wp:extent cx="1579880" cy="3365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579880" cy="33655"/>
                          <a:chExt cx="1579880" cy="33655"/>
                        </a:xfrm>
                      </wpg:grpSpPr>
                      <wps:wsp>
                        <wps:cNvPr id="34" name="Graphic 34"/>
                        <wps:cNvSpPr/>
                        <wps:spPr>
                          <a:xfrm>
                            <a:off x="0" y="16764"/>
                            <a:ext cx="741680" cy="1270"/>
                          </a:xfrm>
                          <a:custGeom>
                            <a:avLst/>
                            <a:gdLst/>
                            <a:ahLst/>
                            <a:cxnLst/>
                            <a:rect l="l" t="t" r="r" b="b"/>
                            <a:pathLst>
                              <a:path w="741680" h="0">
                                <a:moveTo>
                                  <a:pt x="0" y="0"/>
                                </a:moveTo>
                                <a:lnTo>
                                  <a:pt x="741426" y="0"/>
                                </a:lnTo>
                              </a:path>
                            </a:pathLst>
                          </a:custGeom>
                          <a:ln w="33528">
                            <a:solidFill>
                              <a:srgbClr val="000000"/>
                            </a:solidFill>
                            <a:prstDash val="solid"/>
                          </a:ln>
                        </wps:spPr>
                        <wps:bodyPr wrap="square" lIns="0" tIns="0" rIns="0" bIns="0" rtlCol="0">
                          <a:prstTxWarp prst="textNoShape">
                            <a:avLst/>
                          </a:prstTxWarp>
                          <a:noAutofit/>
                        </wps:bodyPr>
                      </wps:wsp>
                      <wps:wsp>
                        <wps:cNvPr id="35" name="Graphic 35"/>
                        <wps:cNvSpPr/>
                        <wps:spPr>
                          <a:xfrm>
                            <a:off x="742187" y="0"/>
                            <a:ext cx="33655" cy="33655"/>
                          </a:xfrm>
                          <a:custGeom>
                            <a:avLst/>
                            <a:gdLst/>
                            <a:ahLst/>
                            <a:cxnLst/>
                            <a:rect l="l" t="t" r="r" b="b"/>
                            <a:pathLst>
                              <a:path w="33655" h="33655">
                                <a:moveTo>
                                  <a:pt x="33527" y="33527"/>
                                </a:moveTo>
                                <a:lnTo>
                                  <a:pt x="33527" y="0"/>
                                </a:lnTo>
                                <a:lnTo>
                                  <a:pt x="0" y="0"/>
                                </a:lnTo>
                                <a:lnTo>
                                  <a:pt x="0" y="33527"/>
                                </a:lnTo>
                                <a:lnTo>
                                  <a:pt x="33527" y="33527"/>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775716" y="16764"/>
                            <a:ext cx="803910" cy="1270"/>
                          </a:xfrm>
                          <a:custGeom>
                            <a:avLst/>
                            <a:gdLst/>
                            <a:ahLst/>
                            <a:cxnLst/>
                            <a:rect l="l" t="t" r="r" b="b"/>
                            <a:pathLst>
                              <a:path w="803910" h="0">
                                <a:moveTo>
                                  <a:pt x="0" y="0"/>
                                </a:moveTo>
                                <a:lnTo>
                                  <a:pt x="803910" y="0"/>
                                </a:lnTo>
                              </a:path>
                            </a:pathLst>
                          </a:custGeom>
                          <a:ln w="335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81.330994pt;margin-top:40.612808pt;width:124.4pt;height:2.65pt;mso-position-horizontal-relative:page;mso-position-vertical-relative:paragraph;z-index:15736320" id="docshapegroup25" coordorigin="5627,812" coordsize="2488,53">
                <v:line style="position:absolute" from="5627,839" to="6794,839" stroked="true" strokeweight="2.64pt" strokecolor="#000000">
                  <v:stroke dashstyle="solid"/>
                </v:line>
                <v:rect style="position:absolute;left:6795;top:812;width:53;height:53" id="docshape26" filled="true" fillcolor="#000000" stroked="false">
                  <v:fill type="solid"/>
                </v:rect>
                <v:line style="position:absolute" from="6848,839" to="8114,839" stroked="true" strokeweight="2.64pt" strokecolor="#000000">
                  <v:stroke dashstyle="solid"/>
                </v:lin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8412365</wp:posOffset>
                </wp:positionH>
                <wp:positionV relativeFrom="paragraph">
                  <wp:posOffset>515782</wp:posOffset>
                </wp:positionV>
                <wp:extent cx="1685925" cy="3365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1685925" cy="33655"/>
                          <a:chExt cx="1685925" cy="33655"/>
                        </a:xfrm>
                      </wpg:grpSpPr>
                      <wps:wsp>
                        <wps:cNvPr id="38" name="Graphic 38"/>
                        <wps:cNvSpPr/>
                        <wps:spPr>
                          <a:xfrm>
                            <a:off x="0" y="16764"/>
                            <a:ext cx="847725" cy="1270"/>
                          </a:xfrm>
                          <a:custGeom>
                            <a:avLst/>
                            <a:gdLst/>
                            <a:ahLst/>
                            <a:cxnLst/>
                            <a:rect l="l" t="t" r="r" b="b"/>
                            <a:pathLst>
                              <a:path w="847725" h="0">
                                <a:moveTo>
                                  <a:pt x="0" y="0"/>
                                </a:moveTo>
                                <a:lnTo>
                                  <a:pt x="847344" y="0"/>
                                </a:lnTo>
                              </a:path>
                            </a:pathLst>
                          </a:custGeom>
                          <a:ln w="33528">
                            <a:solidFill>
                              <a:srgbClr val="000000"/>
                            </a:solidFill>
                            <a:prstDash val="solid"/>
                          </a:ln>
                        </wps:spPr>
                        <wps:bodyPr wrap="square" lIns="0" tIns="0" rIns="0" bIns="0" rtlCol="0">
                          <a:prstTxWarp prst="textNoShape">
                            <a:avLst/>
                          </a:prstTxWarp>
                          <a:noAutofit/>
                        </wps:bodyPr>
                      </wps:wsp>
                      <wps:wsp>
                        <wps:cNvPr id="39" name="Graphic 39"/>
                        <wps:cNvSpPr/>
                        <wps:spPr>
                          <a:xfrm>
                            <a:off x="847331" y="0"/>
                            <a:ext cx="33655" cy="33655"/>
                          </a:xfrm>
                          <a:custGeom>
                            <a:avLst/>
                            <a:gdLst/>
                            <a:ahLst/>
                            <a:cxnLst/>
                            <a:rect l="l" t="t" r="r" b="b"/>
                            <a:pathLst>
                              <a:path w="33655" h="33655">
                                <a:moveTo>
                                  <a:pt x="33527" y="33527"/>
                                </a:moveTo>
                                <a:lnTo>
                                  <a:pt x="33527" y="0"/>
                                </a:lnTo>
                                <a:lnTo>
                                  <a:pt x="0" y="0"/>
                                </a:lnTo>
                                <a:lnTo>
                                  <a:pt x="0" y="33527"/>
                                </a:lnTo>
                                <a:lnTo>
                                  <a:pt x="33527" y="33527"/>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880859" y="16764"/>
                            <a:ext cx="805180" cy="1270"/>
                          </a:xfrm>
                          <a:custGeom>
                            <a:avLst/>
                            <a:gdLst/>
                            <a:ahLst/>
                            <a:cxnLst/>
                            <a:rect l="l" t="t" r="r" b="b"/>
                            <a:pathLst>
                              <a:path w="805180" h="0">
                                <a:moveTo>
                                  <a:pt x="0" y="0"/>
                                </a:moveTo>
                                <a:lnTo>
                                  <a:pt x="804672" y="0"/>
                                </a:lnTo>
                              </a:path>
                            </a:pathLst>
                          </a:custGeom>
                          <a:ln w="335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2.390991pt;margin-top:40.612808pt;width:132.75pt;height:2.65pt;mso-position-horizontal-relative:page;mso-position-vertical-relative:paragraph;z-index:15736832" id="docshapegroup27" coordorigin="13248,812" coordsize="2655,53">
                <v:line style="position:absolute" from="13248,839" to="14582,839" stroked="true" strokeweight="2.64pt" strokecolor="#000000">
                  <v:stroke dashstyle="solid"/>
                </v:line>
                <v:rect style="position:absolute;left:14582;top:812;width:53;height:53" id="docshape28" filled="true" fillcolor="#000000" stroked="false">
                  <v:fill type="solid"/>
                </v:rect>
                <v:line style="position:absolute" from="14635,839" to="15902,839" stroked="true" strokeweight="2.64pt" strokecolor="#000000">
                  <v:stroke dashstyle="solid"/>
                </v:line>
                <w10:wrap type="none"/>
              </v:group>
            </w:pict>
          </mc:Fallback>
        </mc:AlternateContent>
      </w:r>
      <w:r>
        <w:rPr>
          <w:b/>
          <w:sz w:val="18"/>
        </w:rPr>
        <w:t>Total</w:t>
      </w:r>
      <w:r>
        <w:rPr>
          <w:b/>
          <w:spacing w:val="-5"/>
          <w:sz w:val="18"/>
        </w:rPr>
        <w:t> </w:t>
      </w:r>
      <w:r>
        <w:rPr>
          <w:b/>
          <w:sz w:val="18"/>
        </w:rPr>
        <w:t>do </w:t>
      </w:r>
      <w:r>
        <w:rPr>
          <w:b/>
          <w:spacing w:val="-2"/>
          <w:sz w:val="18"/>
        </w:rPr>
        <w:t>Ativo</w:t>
      </w:r>
      <w:r>
        <w:rPr>
          <w:b/>
          <w:sz w:val="18"/>
        </w:rPr>
        <w:tab/>
      </w:r>
      <w:r>
        <w:rPr>
          <w:spacing w:val="-2"/>
          <w:position w:val="-2"/>
          <w:sz w:val="18"/>
        </w:rPr>
        <w:t>164.979</w:t>
      </w:r>
      <w:r>
        <w:rPr>
          <w:position w:val="-2"/>
          <w:sz w:val="18"/>
        </w:rPr>
        <w:tab/>
      </w:r>
      <w:r>
        <w:rPr>
          <w:spacing w:val="-2"/>
          <w:position w:val="-2"/>
          <w:sz w:val="18"/>
        </w:rPr>
        <w:t>220.821</w:t>
      </w:r>
      <w:r>
        <w:rPr>
          <w:position w:val="-2"/>
          <w:sz w:val="18"/>
        </w:rPr>
        <w:tab/>
      </w:r>
      <w:r>
        <w:rPr>
          <w:b/>
          <w:sz w:val="18"/>
        </w:rPr>
        <w:t>Total</w:t>
      </w:r>
      <w:r>
        <w:rPr>
          <w:b/>
          <w:spacing w:val="-4"/>
          <w:sz w:val="18"/>
        </w:rPr>
        <w:t> </w:t>
      </w:r>
      <w:r>
        <w:rPr>
          <w:b/>
          <w:sz w:val="18"/>
        </w:rPr>
        <w:t>do Passivo</w:t>
      </w:r>
      <w:r>
        <w:rPr>
          <w:b/>
          <w:spacing w:val="-3"/>
          <w:sz w:val="18"/>
        </w:rPr>
        <w:t> </w:t>
      </w:r>
      <w:r>
        <w:rPr>
          <w:b/>
          <w:sz w:val="18"/>
        </w:rPr>
        <w:t>e</w:t>
      </w:r>
      <w:r>
        <w:rPr>
          <w:b/>
          <w:spacing w:val="-11"/>
          <w:sz w:val="18"/>
        </w:rPr>
        <w:t> </w:t>
      </w:r>
      <w:r>
        <w:rPr>
          <w:b/>
          <w:sz w:val="18"/>
        </w:rPr>
        <w:t>Patrimônio</w:t>
      </w:r>
      <w:r>
        <w:rPr>
          <w:b/>
          <w:spacing w:val="-3"/>
          <w:sz w:val="18"/>
        </w:rPr>
        <w:t> </w:t>
      </w:r>
      <w:r>
        <w:rPr>
          <w:b/>
          <w:spacing w:val="-2"/>
          <w:sz w:val="18"/>
        </w:rPr>
        <w:t>Líquido</w:t>
      </w:r>
      <w:r>
        <w:rPr>
          <w:b/>
          <w:sz w:val="18"/>
        </w:rPr>
        <w:tab/>
      </w:r>
      <w:r>
        <w:rPr>
          <w:spacing w:val="-2"/>
          <w:position w:val="-2"/>
          <w:sz w:val="18"/>
        </w:rPr>
        <w:t>164.979</w:t>
      </w:r>
      <w:r>
        <w:rPr>
          <w:rFonts w:ascii="Times New Roman" w:hAnsi="Times New Roman"/>
          <w:position w:val="-2"/>
          <w:sz w:val="18"/>
        </w:rPr>
        <w:tab/>
      </w:r>
      <w:r>
        <w:rPr>
          <w:spacing w:val="-2"/>
          <w:position w:val="-2"/>
          <w:sz w:val="18"/>
        </w:rPr>
        <w:t>220.821</w:t>
      </w:r>
    </w:p>
    <w:p>
      <w:pPr>
        <w:spacing w:before="268"/>
        <w:ind w:left="191" w:right="0" w:firstLine="0"/>
        <w:jc w:val="left"/>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4"/>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p>
      <w:pPr>
        <w:spacing w:after="0"/>
        <w:jc w:val="left"/>
        <w:rPr>
          <w:sz w:val="14"/>
        </w:rPr>
        <w:sectPr>
          <w:footerReference w:type="default" r:id="rId11"/>
          <w:pgSz w:w="16840" w:h="11910" w:orient="landscape"/>
          <w:pgMar w:header="0" w:footer="626" w:top="540" w:bottom="820" w:left="580" w:right="780"/>
        </w:sectPr>
      </w:pPr>
    </w:p>
    <w:p>
      <w:pPr>
        <w:pStyle w:val="Heading4"/>
        <w:spacing w:line="282" w:lineRule="exact"/>
        <w:ind w:left="132"/>
        <w:jc w:val="left"/>
      </w:pPr>
      <w:bookmarkStart w:name="_TOC_250021" w:id="4"/>
      <w:r>
        <w:rPr/>
        <w:t>Demonstração</w:t>
      </w:r>
      <w:r>
        <w:rPr>
          <w:spacing w:val="-6"/>
        </w:rPr>
        <w:t> </w:t>
      </w:r>
      <w:r>
        <w:rPr/>
        <w:t>de</w:t>
      </w:r>
      <w:r>
        <w:rPr>
          <w:spacing w:val="-5"/>
        </w:rPr>
        <w:t> </w:t>
      </w:r>
      <w:r>
        <w:rPr/>
        <w:t>Resultado</w:t>
      </w:r>
      <w:r>
        <w:rPr>
          <w:spacing w:val="-4"/>
        </w:rPr>
        <w:t> </w:t>
      </w:r>
      <w:r>
        <w:rPr/>
        <w:t>do</w:t>
      </w:r>
      <w:r>
        <w:rPr>
          <w:spacing w:val="-4"/>
        </w:rPr>
        <w:t> </w:t>
      </w:r>
      <w:bookmarkEnd w:id="4"/>
      <w:r>
        <w:rPr>
          <w:spacing w:val="-2"/>
        </w:rPr>
        <w:t>exercício</w:t>
      </w:r>
    </w:p>
    <w:p>
      <w:pPr>
        <w:spacing w:before="3"/>
        <w:ind w:left="132" w:right="0" w:firstLine="0"/>
        <w:jc w:val="left"/>
        <w:rPr>
          <w:i/>
          <w:sz w:val="20"/>
        </w:rPr>
      </w:pPr>
      <w:r>
        <w:rPr/>
        <mc:AlternateContent>
          <mc:Choice Requires="wps">
            <w:drawing>
              <wp:anchor distT="0" distB="0" distL="0" distR="0" allowOverlap="1" layoutInCell="1" locked="0" behindDoc="1" simplePos="0" relativeHeight="487596544">
                <wp:simplePos x="0" y="0"/>
                <wp:positionH relativeFrom="page">
                  <wp:posOffset>522731</wp:posOffset>
                </wp:positionH>
                <wp:positionV relativeFrom="paragraph">
                  <wp:posOffset>170912</wp:posOffset>
                </wp:positionV>
                <wp:extent cx="651764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517640" cy="1270"/>
                        </a:xfrm>
                        <a:custGeom>
                          <a:avLst/>
                          <a:gdLst/>
                          <a:ahLst/>
                          <a:cxnLst/>
                          <a:rect l="l" t="t" r="r" b="b"/>
                          <a:pathLst>
                            <a:path w="6517640" h="0">
                              <a:moveTo>
                                <a:pt x="0" y="0"/>
                              </a:moveTo>
                              <a:lnTo>
                                <a:pt x="6517385"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16pt;margin-top:13.457673pt;width:513.2pt;height:.1pt;mso-position-horizontal-relative:page;mso-position-vertical-relative:paragraph;z-index:-15719936;mso-wrap-distance-left:0;mso-wrap-distance-right:0" id="docshape31" coordorigin="823,269" coordsize="10264,0" path="m823,269l11087,269e" filled="false" stroked="true" strokeweight="1.44pt" strokecolor="#000000">
                <v:path arrowok="t"/>
                <v:stroke dashstyle="solid"/>
                <w10:wrap type="topAndBottom"/>
              </v:shape>
            </w:pict>
          </mc:Fallback>
        </mc:AlternateContent>
      </w:r>
      <w:r>
        <w:rPr>
          <w:i/>
          <w:sz w:val="20"/>
        </w:rPr>
        <w:t>Exercícios</w:t>
      </w:r>
      <w:r>
        <w:rPr>
          <w:i/>
          <w:spacing w:val="-6"/>
          <w:sz w:val="20"/>
        </w:rPr>
        <w:t> </w:t>
      </w:r>
      <w:r>
        <w:rPr>
          <w:i/>
          <w:sz w:val="20"/>
        </w:rPr>
        <w:t>findos</w:t>
      </w:r>
      <w:r>
        <w:rPr>
          <w:i/>
          <w:spacing w:val="-3"/>
          <w:sz w:val="20"/>
        </w:rPr>
        <w:t> </w:t>
      </w:r>
      <w:r>
        <w:rPr>
          <w:i/>
          <w:sz w:val="20"/>
        </w:rPr>
        <w:t>em</w:t>
      </w:r>
      <w:r>
        <w:rPr>
          <w:i/>
          <w:spacing w:val="-4"/>
          <w:sz w:val="20"/>
        </w:rPr>
        <w:t> </w:t>
      </w:r>
      <w:r>
        <w:rPr>
          <w:i/>
          <w:sz w:val="20"/>
        </w:rPr>
        <w:t>31</w:t>
      </w:r>
      <w:r>
        <w:rPr>
          <w:i/>
          <w:spacing w:val="-3"/>
          <w:sz w:val="20"/>
        </w:rPr>
        <w:t> </w:t>
      </w:r>
      <w:r>
        <w:rPr>
          <w:i/>
          <w:sz w:val="20"/>
        </w:rPr>
        <w:t>de</w:t>
      </w:r>
      <w:r>
        <w:rPr>
          <w:i/>
          <w:spacing w:val="-4"/>
          <w:sz w:val="20"/>
        </w:rPr>
        <w:t> </w:t>
      </w:r>
      <w:r>
        <w:rPr>
          <w:i/>
          <w:sz w:val="20"/>
        </w:rPr>
        <w:t>dezembro</w:t>
      </w:r>
      <w:r>
        <w:rPr>
          <w:i/>
          <w:spacing w:val="-4"/>
          <w:sz w:val="20"/>
        </w:rPr>
        <w:t> </w:t>
      </w:r>
      <w:r>
        <w:rPr>
          <w:i/>
          <w:sz w:val="20"/>
        </w:rPr>
        <w:t>(Em</w:t>
      </w:r>
      <w:r>
        <w:rPr>
          <w:i/>
          <w:spacing w:val="-3"/>
          <w:sz w:val="20"/>
        </w:rPr>
        <w:t> </w:t>
      </w:r>
      <w:r>
        <w:rPr>
          <w:i/>
          <w:sz w:val="20"/>
        </w:rPr>
        <w:t>milhares</w:t>
      </w:r>
      <w:r>
        <w:rPr>
          <w:i/>
          <w:spacing w:val="-3"/>
          <w:sz w:val="20"/>
        </w:rPr>
        <w:t> </w:t>
      </w:r>
      <w:r>
        <w:rPr>
          <w:i/>
          <w:sz w:val="20"/>
        </w:rPr>
        <w:t>de</w:t>
      </w:r>
      <w:r>
        <w:rPr>
          <w:i/>
          <w:spacing w:val="-4"/>
          <w:sz w:val="20"/>
        </w:rPr>
        <w:t> </w:t>
      </w:r>
      <w:r>
        <w:rPr>
          <w:i/>
          <w:sz w:val="20"/>
        </w:rPr>
        <w:t>reais,</w:t>
      </w:r>
      <w:r>
        <w:rPr>
          <w:i/>
          <w:spacing w:val="-4"/>
          <w:sz w:val="20"/>
        </w:rPr>
        <w:t> </w:t>
      </w:r>
      <w:r>
        <w:rPr>
          <w:i/>
          <w:sz w:val="20"/>
        </w:rPr>
        <w:t>exceto</w:t>
      </w:r>
      <w:r>
        <w:rPr>
          <w:i/>
          <w:spacing w:val="-4"/>
          <w:sz w:val="20"/>
        </w:rPr>
        <w:t> </w:t>
      </w:r>
      <w:r>
        <w:rPr>
          <w:i/>
          <w:sz w:val="20"/>
        </w:rPr>
        <w:t>quando</w:t>
      </w:r>
      <w:r>
        <w:rPr>
          <w:i/>
          <w:spacing w:val="-3"/>
          <w:sz w:val="20"/>
        </w:rPr>
        <w:t> </w:t>
      </w:r>
      <w:r>
        <w:rPr>
          <w:i/>
          <w:sz w:val="20"/>
        </w:rPr>
        <w:t>indicado</w:t>
      </w:r>
      <w:r>
        <w:rPr>
          <w:i/>
          <w:spacing w:val="-3"/>
          <w:sz w:val="20"/>
        </w:rPr>
        <w:t> </w:t>
      </w:r>
      <w:r>
        <w:rPr>
          <w:i/>
          <w:sz w:val="20"/>
        </w:rPr>
        <w:t>em</w:t>
      </w:r>
      <w:r>
        <w:rPr>
          <w:i/>
          <w:spacing w:val="-3"/>
          <w:sz w:val="20"/>
        </w:rPr>
        <w:t> </w:t>
      </w:r>
      <w:r>
        <w:rPr>
          <w:i/>
          <w:spacing w:val="-2"/>
          <w:sz w:val="20"/>
        </w:rPr>
        <w:t>contrário)</w:t>
      </w:r>
    </w:p>
    <w:p>
      <w:pPr>
        <w:pStyle w:val="BodyText"/>
        <w:rPr>
          <w:i/>
          <w:sz w:val="20"/>
        </w:rPr>
      </w:pPr>
    </w:p>
    <w:p>
      <w:pPr>
        <w:pStyle w:val="BodyText"/>
        <w:rPr>
          <w:i/>
          <w:sz w:val="20"/>
        </w:rPr>
      </w:pPr>
    </w:p>
    <w:p>
      <w:pPr>
        <w:pStyle w:val="BodyText"/>
        <w:rPr>
          <w:i/>
          <w:sz w:val="20"/>
        </w:rPr>
      </w:pPr>
    </w:p>
    <w:p>
      <w:pPr>
        <w:pStyle w:val="BodyText"/>
        <w:spacing w:before="83"/>
        <w:rPr>
          <w:i/>
          <w:sz w:val="20"/>
        </w:rPr>
      </w:pPr>
    </w:p>
    <w:tbl>
      <w:tblPr>
        <w:tblW w:w="0" w:type="auto"/>
        <w:jc w:val="left"/>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094"/>
        <w:gridCol w:w="1409"/>
        <w:gridCol w:w="1685"/>
        <w:gridCol w:w="1048"/>
      </w:tblGrid>
      <w:tr>
        <w:trPr>
          <w:trHeight w:val="157" w:hRule="atLeast"/>
        </w:trPr>
        <w:tc>
          <w:tcPr>
            <w:tcW w:w="6094" w:type="dxa"/>
          </w:tcPr>
          <w:p>
            <w:pPr>
              <w:pStyle w:val="TableParagraph"/>
              <w:rPr>
                <w:rFonts w:ascii="Times New Roman"/>
                <w:sz w:val="10"/>
              </w:rPr>
            </w:pPr>
          </w:p>
        </w:tc>
        <w:tc>
          <w:tcPr>
            <w:tcW w:w="1409" w:type="dxa"/>
          </w:tcPr>
          <w:p>
            <w:pPr>
              <w:pStyle w:val="TableParagraph"/>
              <w:spacing w:line="121" w:lineRule="exact"/>
              <w:ind w:right="53"/>
              <w:jc w:val="right"/>
              <w:rPr>
                <w:b/>
                <w:sz w:val="18"/>
              </w:rPr>
            </w:pPr>
            <w:r>
              <w:rPr>
                <w:b/>
                <w:spacing w:val="-4"/>
                <w:sz w:val="18"/>
              </w:rPr>
              <w:t>Nota</w:t>
            </w:r>
          </w:p>
        </w:tc>
        <w:tc>
          <w:tcPr>
            <w:tcW w:w="1685" w:type="dxa"/>
            <w:tcBorders>
              <w:bottom w:val="single" w:sz="18" w:space="0" w:color="000000"/>
            </w:tcBorders>
          </w:tcPr>
          <w:p>
            <w:pPr>
              <w:pStyle w:val="TableParagraph"/>
              <w:spacing w:line="121" w:lineRule="exact"/>
              <w:ind w:right="407"/>
              <w:jc w:val="right"/>
              <w:rPr>
                <w:b/>
                <w:sz w:val="18"/>
              </w:rPr>
            </w:pPr>
            <w:r>
              <w:rPr>
                <w:b/>
                <w:spacing w:val="-4"/>
                <w:sz w:val="18"/>
              </w:rPr>
              <w:t>2022</w:t>
            </w:r>
          </w:p>
        </w:tc>
        <w:tc>
          <w:tcPr>
            <w:tcW w:w="1048" w:type="dxa"/>
            <w:tcBorders>
              <w:bottom w:val="single" w:sz="18" w:space="0" w:color="000000"/>
            </w:tcBorders>
          </w:tcPr>
          <w:p>
            <w:pPr>
              <w:pStyle w:val="TableParagraph"/>
              <w:spacing w:line="121" w:lineRule="exact"/>
              <w:ind w:right="29"/>
              <w:jc w:val="right"/>
              <w:rPr>
                <w:b/>
                <w:sz w:val="18"/>
              </w:rPr>
            </w:pPr>
            <w:r>
              <w:rPr>
                <w:b/>
                <w:spacing w:val="-4"/>
                <w:sz w:val="18"/>
              </w:rPr>
              <w:t>2021</w:t>
            </w:r>
          </w:p>
        </w:tc>
      </w:tr>
      <w:tr>
        <w:trPr>
          <w:trHeight w:val="237" w:hRule="atLeast"/>
        </w:trPr>
        <w:tc>
          <w:tcPr>
            <w:tcW w:w="6094" w:type="dxa"/>
          </w:tcPr>
          <w:p>
            <w:pPr>
              <w:pStyle w:val="TableParagraph"/>
              <w:spacing w:line="204" w:lineRule="exact"/>
              <w:ind w:left="50"/>
              <w:rPr>
                <w:b/>
                <w:sz w:val="18"/>
              </w:rPr>
            </w:pPr>
            <w:r>
              <w:rPr>
                <w:b/>
                <w:sz w:val="18"/>
              </w:rPr>
              <w:t>Receitas</w:t>
            </w:r>
            <w:r>
              <w:rPr>
                <w:b/>
                <w:spacing w:val="-9"/>
                <w:sz w:val="18"/>
              </w:rPr>
              <w:t> </w:t>
            </w:r>
            <w:r>
              <w:rPr>
                <w:b/>
                <w:sz w:val="18"/>
              </w:rPr>
              <w:t>(despesas)</w:t>
            </w:r>
            <w:r>
              <w:rPr>
                <w:b/>
                <w:spacing w:val="-7"/>
                <w:sz w:val="18"/>
              </w:rPr>
              <w:t> </w:t>
            </w:r>
            <w:r>
              <w:rPr>
                <w:b/>
                <w:spacing w:val="-2"/>
                <w:sz w:val="18"/>
              </w:rPr>
              <w:t>operacionais</w:t>
            </w:r>
          </w:p>
        </w:tc>
        <w:tc>
          <w:tcPr>
            <w:tcW w:w="1409" w:type="dxa"/>
          </w:tcPr>
          <w:p>
            <w:pPr>
              <w:pStyle w:val="TableParagraph"/>
              <w:rPr>
                <w:rFonts w:ascii="Times New Roman"/>
                <w:sz w:val="18"/>
              </w:rPr>
            </w:pPr>
          </w:p>
        </w:tc>
        <w:tc>
          <w:tcPr>
            <w:tcW w:w="1685" w:type="dxa"/>
            <w:tcBorders>
              <w:top w:val="single" w:sz="18" w:space="0" w:color="000000"/>
            </w:tcBorders>
          </w:tcPr>
          <w:p>
            <w:pPr>
              <w:pStyle w:val="TableParagraph"/>
              <w:rPr>
                <w:rFonts w:ascii="Times New Roman"/>
                <w:sz w:val="18"/>
              </w:rPr>
            </w:pPr>
          </w:p>
        </w:tc>
        <w:tc>
          <w:tcPr>
            <w:tcW w:w="1048" w:type="dxa"/>
            <w:tcBorders>
              <w:top w:val="single" w:sz="18" w:space="0" w:color="000000"/>
            </w:tcBorders>
          </w:tcPr>
          <w:p>
            <w:pPr>
              <w:pStyle w:val="TableParagraph"/>
              <w:rPr>
                <w:rFonts w:ascii="Times New Roman"/>
                <w:sz w:val="18"/>
              </w:rPr>
            </w:pPr>
          </w:p>
        </w:tc>
      </w:tr>
      <w:tr>
        <w:trPr>
          <w:trHeight w:val="291" w:hRule="atLeast"/>
        </w:trPr>
        <w:tc>
          <w:tcPr>
            <w:tcW w:w="6094" w:type="dxa"/>
          </w:tcPr>
          <w:p>
            <w:pPr>
              <w:pStyle w:val="TableParagraph"/>
              <w:ind w:left="50"/>
              <w:rPr>
                <w:sz w:val="18"/>
              </w:rPr>
            </w:pPr>
            <w:r>
              <w:rPr>
                <w:spacing w:val="-2"/>
                <w:sz w:val="18"/>
              </w:rPr>
              <w:t>Vendas</w:t>
            </w:r>
          </w:p>
        </w:tc>
        <w:tc>
          <w:tcPr>
            <w:tcW w:w="1409" w:type="dxa"/>
          </w:tcPr>
          <w:p>
            <w:pPr>
              <w:pStyle w:val="TableParagraph"/>
              <w:spacing w:line="219" w:lineRule="exact" w:before="53"/>
              <w:ind w:right="52"/>
              <w:jc w:val="right"/>
              <w:rPr>
                <w:sz w:val="18"/>
              </w:rPr>
            </w:pPr>
            <w:r>
              <w:rPr>
                <w:spacing w:val="-5"/>
                <w:sz w:val="18"/>
              </w:rPr>
              <w:t>13</w:t>
            </w:r>
          </w:p>
        </w:tc>
        <w:tc>
          <w:tcPr>
            <w:tcW w:w="1685" w:type="dxa"/>
          </w:tcPr>
          <w:p>
            <w:pPr>
              <w:pStyle w:val="TableParagraph"/>
              <w:spacing w:line="219" w:lineRule="exact" w:before="53"/>
              <w:ind w:right="403"/>
              <w:jc w:val="right"/>
              <w:rPr>
                <w:sz w:val="18"/>
              </w:rPr>
            </w:pPr>
            <w:r>
              <w:rPr>
                <w:spacing w:val="-10"/>
                <w:sz w:val="18"/>
              </w:rPr>
              <w:t>‐</w:t>
            </w:r>
          </w:p>
        </w:tc>
        <w:tc>
          <w:tcPr>
            <w:tcW w:w="1048" w:type="dxa"/>
          </w:tcPr>
          <w:p>
            <w:pPr>
              <w:pStyle w:val="TableParagraph"/>
              <w:spacing w:line="219" w:lineRule="exact" w:before="53"/>
              <w:ind w:right="101"/>
              <w:jc w:val="right"/>
              <w:rPr>
                <w:sz w:val="18"/>
              </w:rPr>
            </w:pPr>
            <w:r>
              <w:rPr>
                <w:spacing w:val="-5"/>
                <w:sz w:val="18"/>
              </w:rPr>
              <w:t>364</w:t>
            </w:r>
          </w:p>
        </w:tc>
      </w:tr>
      <w:tr>
        <w:trPr>
          <w:trHeight w:val="270" w:hRule="atLeast"/>
        </w:trPr>
        <w:tc>
          <w:tcPr>
            <w:tcW w:w="6094" w:type="dxa"/>
          </w:tcPr>
          <w:p>
            <w:pPr>
              <w:pStyle w:val="TableParagraph"/>
              <w:spacing w:line="206" w:lineRule="exact"/>
              <w:ind w:left="50"/>
              <w:rPr>
                <w:sz w:val="18"/>
              </w:rPr>
            </w:pPr>
            <w:r>
              <w:rPr>
                <w:sz w:val="18"/>
              </w:rPr>
              <w:t>Gerais</w:t>
            </w:r>
            <w:r>
              <w:rPr>
                <w:spacing w:val="-1"/>
                <w:sz w:val="18"/>
              </w:rPr>
              <w:t> </w:t>
            </w:r>
            <w:r>
              <w:rPr>
                <w:sz w:val="18"/>
              </w:rPr>
              <w:t>e </w:t>
            </w:r>
            <w:r>
              <w:rPr>
                <w:spacing w:val="-2"/>
                <w:sz w:val="18"/>
              </w:rPr>
              <w:t>administrativas</w:t>
            </w:r>
          </w:p>
        </w:tc>
        <w:tc>
          <w:tcPr>
            <w:tcW w:w="1409" w:type="dxa"/>
          </w:tcPr>
          <w:p>
            <w:pPr>
              <w:pStyle w:val="TableParagraph"/>
              <w:spacing w:before="30"/>
              <w:ind w:right="52"/>
              <w:jc w:val="right"/>
              <w:rPr>
                <w:sz w:val="18"/>
              </w:rPr>
            </w:pPr>
            <w:r>
              <w:rPr>
                <w:spacing w:val="-5"/>
                <w:sz w:val="18"/>
              </w:rPr>
              <w:t>13</w:t>
            </w:r>
          </w:p>
        </w:tc>
        <w:tc>
          <w:tcPr>
            <w:tcW w:w="1685" w:type="dxa"/>
          </w:tcPr>
          <w:p>
            <w:pPr>
              <w:pStyle w:val="TableParagraph"/>
              <w:spacing w:before="30"/>
              <w:ind w:right="406"/>
              <w:jc w:val="right"/>
              <w:rPr>
                <w:sz w:val="18"/>
              </w:rPr>
            </w:pPr>
            <w:r>
              <w:rPr>
                <w:spacing w:val="-2"/>
                <w:sz w:val="18"/>
              </w:rPr>
              <w:t>(318)</w:t>
            </w:r>
          </w:p>
        </w:tc>
        <w:tc>
          <w:tcPr>
            <w:tcW w:w="1048" w:type="dxa"/>
          </w:tcPr>
          <w:p>
            <w:pPr>
              <w:pStyle w:val="TableParagraph"/>
              <w:spacing w:before="30"/>
              <w:ind w:right="97"/>
              <w:jc w:val="right"/>
              <w:rPr>
                <w:sz w:val="18"/>
              </w:rPr>
            </w:pPr>
            <w:r>
              <w:rPr>
                <w:spacing w:val="-2"/>
                <w:sz w:val="18"/>
              </w:rPr>
              <w:t>(1.995)</w:t>
            </w:r>
          </w:p>
        </w:tc>
      </w:tr>
      <w:tr>
        <w:trPr>
          <w:trHeight w:val="269" w:hRule="atLeast"/>
        </w:trPr>
        <w:tc>
          <w:tcPr>
            <w:tcW w:w="6094" w:type="dxa"/>
          </w:tcPr>
          <w:p>
            <w:pPr>
              <w:pStyle w:val="TableParagraph"/>
              <w:spacing w:line="207" w:lineRule="exact"/>
              <w:ind w:left="50"/>
              <w:rPr>
                <w:sz w:val="18"/>
              </w:rPr>
            </w:pPr>
            <w:r>
              <w:rPr>
                <w:spacing w:val="-2"/>
                <w:sz w:val="18"/>
              </w:rPr>
              <w:t>Tributárias</w:t>
            </w:r>
          </w:p>
        </w:tc>
        <w:tc>
          <w:tcPr>
            <w:tcW w:w="1409" w:type="dxa"/>
          </w:tcPr>
          <w:p>
            <w:pPr>
              <w:pStyle w:val="TableParagraph"/>
              <w:spacing w:line="219" w:lineRule="exact" w:before="30"/>
              <w:ind w:right="52"/>
              <w:jc w:val="right"/>
              <w:rPr>
                <w:sz w:val="18"/>
              </w:rPr>
            </w:pPr>
            <w:r>
              <w:rPr>
                <w:spacing w:val="-5"/>
                <w:sz w:val="18"/>
              </w:rPr>
              <w:t>13</w:t>
            </w:r>
          </w:p>
        </w:tc>
        <w:tc>
          <w:tcPr>
            <w:tcW w:w="1685" w:type="dxa"/>
          </w:tcPr>
          <w:p>
            <w:pPr>
              <w:pStyle w:val="TableParagraph"/>
              <w:spacing w:line="219" w:lineRule="exact" w:before="30"/>
              <w:ind w:right="405"/>
              <w:jc w:val="right"/>
              <w:rPr>
                <w:sz w:val="18"/>
              </w:rPr>
            </w:pPr>
            <w:r>
              <w:rPr>
                <w:spacing w:val="-2"/>
                <w:sz w:val="18"/>
              </w:rPr>
              <w:t>(1.399)</w:t>
            </w:r>
          </w:p>
        </w:tc>
        <w:tc>
          <w:tcPr>
            <w:tcW w:w="1048" w:type="dxa"/>
          </w:tcPr>
          <w:p>
            <w:pPr>
              <w:pStyle w:val="TableParagraph"/>
              <w:spacing w:line="219" w:lineRule="exact" w:before="30"/>
              <w:ind w:right="97"/>
              <w:jc w:val="right"/>
              <w:rPr>
                <w:sz w:val="18"/>
              </w:rPr>
            </w:pPr>
            <w:r>
              <w:rPr>
                <w:spacing w:val="-2"/>
                <w:sz w:val="18"/>
              </w:rPr>
              <w:t>(1.216)</w:t>
            </w:r>
          </w:p>
        </w:tc>
      </w:tr>
      <w:tr>
        <w:trPr>
          <w:trHeight w:val="270" w:hRule="atLeast"/>
        </w:trPr>
        <w:tc>
          <w:tcPr>
            <w:tcW w:w="6094" w:type="dxa"/>
          </w:tcPr>
          <w:p>
            <w:pPr>
              <w:pStyle w:val="TableParagraph"/>
              <w:spacing w:line="206" w:lineRule="exact"/>
              <w:ind w:left="50"/>
              <w:rPr>
                <w:sz w:val="18"/>
              </w:rPr>
            </w:pPr>
            <w:r>
              <w:rPr>
                <w:sz w:val="18"/>
              </w:rPr>
              <w:t>Reversão</w:t>
            </w:r>
            <w:r>
              <w:rPr>
                <w:spacing w:val="-5"/>
                <w:sz w:val="18"/>
              </w:rPr>
              <w:t> </w:t>
            </w:r>
            <w:r>
              <w:rPr>
                <w:sz w:val="18"/>
              </w:rPr>
              <w:t>de</w:t>
            </w:r>
            <w:r>
              <w:rPr>
                <w:spacing w:val="-4"/>
                <w:sz w:val="18"/>
              </w:rPr>
              <w:t> </w:t>
            </w:r>
            <w:r>
              <w:rPr>
                <w:sz w:val="18"/>
              </w:rPr>
              <w:t>perda</w:t>
            </w:r>
            <w:r>
              <w:rPr>
                <w:spacing w:val="-3"/>
                <w:sz w:val="18"/>
              </w:rPr>
              <w:t> </w:t>
            </w:r>
            <w:r>
              <w:rPr>
                <w:sz w:val="18"/>
              </w:rPr>
              <w:t>pela</w:t>
            </w:r>
            <w:r>
              <w:rPr>
                <w:spacing w:val="-3"/>
                <w:sz w:val="18"/>
              </w:rPr>
              <w:t> </w:t>
            </w:r>
            <w:r>
              <w:rPr>
                <w:sz w:val="18"/>
              </w:rPr>
              <w:t>não</w:t>
            </w:r>
            <w:r>
              <w:rPr>
                <w:spacing w:val="-3"/>
                <w:sz w:val="18"/>
              </w:rPr>
              <w:t> </w:t>
            </w:r>
            <w:r>
              <w:rPr>
                <w:sz w:val="18"/>
              </w:rPr>
              <w:t>recuperabilidade</w:t>
            </w:r>
            <w:r>
              <w:rPr>
                <w:spacing w:val="-4"/>
                <w:sz w:val="18"/>
              </w:rPr>
              <w:t> </w:t>
            </w:r>
            <w:r>
              <w:rPr>
                <w:sz w:val="18"/>
              </w:rPr>
              <w:t>de</w:t>
            </w:r>
            <w:r>
              <w:rPr>
                <w:spacing w:val="-4"/>
                <w:sz w:val="18"/>
              </w:rPr>
              <w:t> </w:t>
            </w:r>
            <w:r>
              <w:rPr>
                <w:spacing w:val="-2"/>
                <w:sz w:val="18"/>
              </w:rPr>
              <w:t>ativos</w:t>
            </w:r>
          </w:p>
        </w:tc>
        <w:tc>
          <w:tcPr>
            <w:tcW w:w="1409" w:type="dxa"/>
          </w:tcPr>
          <w:p>
            <w:pPr>
              <w:pStyle w:val="TableParagraph"/>
              <w:spacing w:before="31"/>
              <w:ind w:right="52"/>
              <w:jc w:val="right"/>
              <w:rPr>
                <w:sz w:val="18"/>
              </w:rPr>
            </w:pPr>
            <w:r>
              <w:rPr>
                <w:spacing w:val="-5"/>
                <w:sz w:val="18"/>
              </w:rPr>
              <w:t>13</w:t>
            </w:r>
          </w:p>
        </w:tc>
        <w:tc>
          <w:tcPr>
            <w:tcW w:w="1685" w:type="dxa"/>
          </w:tcPr>
          <w:p>
            <w:pPr>
              <w:pStyle w:val="TableParagraph"/>
              <w:spacing w:before="31"/>
              <w:ind w:right="403"/>
              <w:jc w:val="right"/>
              <w:rPr>
                <w:sz w:val="18"/>
              </w:rPr>
            </w:pPr>
            <w:r>
              <w:rPr>
                <w:spacing w:val="-10"/>
                <w:sz w:val="18"/>
              </w:rPr>
              <w:t>‐</w:t>
            </w:r>
          </w:p>
        </w:tc>
        <w:tc>
          <w:tcPr>
            <w:tcW w:w="1048" w:type="dxa"/>
          </w:tcPr>
          <w:p>
            <w:pPr>
              <w:pStyle w:val="TableParagraph"/>
              <w:spacing w:before="31"/>
              <w:ind w:right="99"/>
              <w:jc w:val="right"/>
              <w:rPr>
                <w:sz w:val="18"/>
              </w:rPr>
            </w:pPr>
            <w:r>
              <w:rPr>
                <w:spacing w:val="-2"/>
                <w:sz w:val="18"/>
              </w:rPr>
              <w:t>1.225</w:t>
            </w:r>
          </w:p>
        </w:tc>
      </w:tr>
      <w:tr>
        <w:trPr>
          <w:trHeight w:val="269" w:hRule="atLeast"/>
        </w:trPr>
        <w:tc>
          <w:tcPr>
            <w:tcW w:w="6094" w:type="dxa"/>
          </w:tcPr>
          <w:p>
            <w:pPr>
              <w:pStyle w:val="TableParagraph"/>
              <w:spacing w:line="207" w:lineRule="exact"/>
              <w:ind w:left="50"/>
              <w:rPr>
                <w:sz w:val="18"/>
              </w:rPr>
            </w:pPr>
            <w:r>
              <w:rPr>
                <w:sz w:val="18"/>
              </w:rPr>
              <w:t>Efeito</w:t>
            </w:r>
            <w:r>
              <w:rPr>
                <w:spacing w:val="-5"/>
                <w:sz w:val="18"/>
              </w:rPr>
              <w:t> </w:t>
            </w:r>
            <w:r>
              <w:rPr>
                <w:sz w:val="18"/>
              </w:rPr>
              <w:t>líquido</w:t>
            </w:r>
            <w:r>
              <w:rPr>
                <w:spacing w:val="-3"/>
                <w:sz w:val="18"/>
              </w:rPr>
              <w:t> </w:t>
            </w:r>
            <w:r>
              <w:rPr>
                <w:sz w:val="18"/>
              </w:rPr>
              <w:t>da</w:t>
            </w:r>
            <w:r>
              <w:rPr>
                <w:spacing w:val="-1"/>
                <w:sz w:val="18"/>
              </w:rPr>
              <w:t> </w:t>
            </w:r>
            <w:r>
              <w:rPr>
                <w:sz w:val="18"/>
              </w:rPr>
              <w:t>retirada</w:t>
            </w:r>
            <w:r>
              <w:rPr>
                <w:spacing w:val="-3"/>
                <w:sz w:val="18"/>
              </w:rPr>
              <w:t> </w:t>
            </w:r>
            <w:r>
              <w:rPr>
                <w:sz w:val="18"/>
              </w:rPr>
              <w:t>de</w:t>
            </w:r>
            <w:r>
              <w:rPr>
                <w:spacing w:val="-2"/>
                <w:sz w:val="18"/>
              </w:rPr>
              <w:t> </w:t>
            </w:r>
            <w:r>
              <w:rPr>
                <w:sz w:val="18"/>
              </w:rPr>
              <w:t>patrocínio</w:t>
            </w:r>
            <w:r>
              <w:rPr>
                <w:spacing w:val="-3"/>
                <w:sz w:val="18"/>
              </w:rPr>
              <w:t> </w:t>
            </w:r>
            <w:r>
              <w:rPr>
                <w:sz w:val="18"/>
              </w:rPr>
              <w:t>dos</w:t>
            </w:r>
            <w:r>
              <w:rPr>
                <w:spacing w:val="-2"/>
                <w:sz w:val="18"/>
              </w:rPr>
              <w:t> </w:t>
            </w:r>
            <w:r>
              <w:rPr>
                <w:sz w:val="18"/>
              </w:rPr>
              <w:t>planos</w:t>
            </w:r>
            <w:r>
              <w:rPr>
                <w:spacing w:val="-4"/>
                <w:sz w:val="18"/>
              </w:rPr>
              <w:t> </w:t>
            </w:r>
            <w:r>
              <w:rPr>
                <w:sz w:val="18"/>
              </w:rPr>
              <w:t>de</w:t>
            </w:r>
            <w:r>
              <w:rPr>
                <w:spacing w:val="-3"/>
                <w:sz w:val="18"/>
              </w:rPr>
              <w:t> </w:t>
            </w:r>
            <w:r>
              <w:rPr>
                <w:sz w:val="18"/>
              </w:rPr>
              <w:t>pensão</w:t>
            </w:r>
            <w:r>
              <w:rPr>
                <w:spacing w:val="-4"/>
                <w:sz w:val="18"/>
              </w:rPr>
              <w:t> </w:t>
            </w:r>
            <w:r>
              <w:rPr>
                <w:sz w:val="18"/>
              </w:rPr>
              <w:t>e</w:t>
            </w:r>
            <w:r>
              <w:rPr>
                <w:spacing w:val="-2"/>
                <w:sz w:val="18"/>
              </w:rPr>
              <w:t> saúde</w:t>
            </w:r>
          </w:p>
        </w:tc>
        <w:tc>
          <w:tcPr>
            <w:tcW w:w="1409" w:type="dxa"/>
          </w:tcPr>
          <w:p>
            <w:pPr>
              <w:pStyle w:val="TableParagraph"/>
              <w:spacing w:line="219" w:lineRule="exact" w:before="30"/>
              <w:ind w:right="52"/>
              <w:jc w:val="right"/>
              <w:rPr>
                <w:sz w:val="18"/>
              </w:rPr>
            </w:pPr>
            <w:r>
              <w:rPr>
                <w:spacing w:val="-5"/>
                <w:sz w:val="18"/>
              </w:rPr>
              <w:t>13</w:t>
            </w:r>
          </w:p>
        </w:tc>
        <w:tc>
          <w:tcPr>
            <w:tcW w:w="1685" w:type="dxa"/>
          </w:tcPr>
          <w:p>
            <w:pPr>
              <w:pStyle w:val="TableParagraph"/>
              <w:spacing w:line="219" w:lineRule="exact" w:before="30"/>
              <w:ind w:right="405"/>
              <w:jc w:val="right"/>
              <w:rPr>
                <w:sz w:val="18"/>
              </w:rPr>
            </w:pPr>
            <w:r>
              <w:rPr>
                <w:spacing w:val="-2"/>
                <w:sz w:val="18"/>
              </w:rPr>
              <w:t>(4.250)</w:t>
            </w:r>
          </w:p>
        </w:tc>
        <w:tc>
          <w:tcPr>
            <w:tcW w:w="1048" w:type="dxa"/>
          </w:tcPr>
          <w:p>
            <w:pPr>
              <w:pStyle w:val="TableParagraph"/>
              <w:spacing w:line="219" w:lineRule="exact" w:before="30"/>
              <w:ind w:right="98"/>
              <w:jc w:val="right"/>
              <w:rPr>
                <w:sz w:val="18"/>
              </w:rPr>
            </w:pPr>
            <w:r>
              <w:rPr>
                <w:spacing w:val="-2"/>
                <w:sz w:val="18"/>
              </w:rPr>
              <w:t>92.942</w:t>
            </w:r>
          </w:p>
        </w:tc>
      </w:tr>
      <w:tr>
        <w:trPr>
          <w:trHeight w:val="223" w:hRule="atLeast"/>
        </w:trPr>
        <w:tc>
          <w:tcPr>
            <w:tcW w:w="6094" w:type="dxa"/>
          </w:tcPr>
          <w:p>
            <w:pPr>
              <w:pStyle w:val="TableParagraph"/>
              <w:spacing w:line="203" w:lineRule="exact"/>
              <w:ind w:left="50"/>
              <w:rPr>
                <w:sz w:val="18"/>
              </w:rPr>
            </w:pPr>
            <w:r>
              <w:rPr>
                <w:sz w:val="18"/>
              </w:rPr>
              <w:t>Outras</w:t>
            </w:r>
            <w:r>
              <w:rPr>
                <w:spacing w:val="-4"/>
                <w:sz w:val="18"/>
              </w:rPr>
              <w:t> </w:t>
            </w:r>
            <w:r>
              <w:rPr>
                <w:sz w:val="18"/>
              </w:rPr>
              <w:t>despesas,</w:t>
            </w:r>
            <w:r>
              <w:rPr>
                <w:spacing w:val="-4"/>
                <w:sz w:val="18"/>
              </w:rPr>
              <w:t> </w:t>
            </w:r>
            <w:r>
              <w:rPr>
                <w:spacing w:val="-2"/>
                <w:sz w:val="18"/>
              </w:rPr>
              <w:t>líquidas</w:t>
            </w:r>
          </w:p>
        </w:tc>
        <w:tc>
          <w:tcPr>
            <w:tcW w:w="1409" w:type="dxa"/>
          </w:tcPr>
          <w:p>
            <w:pPr>
              <w:pStyle w:val="TableParagraph"/>
              <w:spacing w:line="167" w:lineRule="exact" w:before="29"/>
              <w:ind w:right="52"/>
              <w:jc w:val="right"/>
              <w:rPr>
                <w:sz w:val="18"/>
              </w:rPr>
            </w:pPr>
            <w:r>
              <w:rPr>
                <w:spacing w:val="-5"/>
                <w:sz w:val="18"/>
              </w:rPr>
              <w:t>14</w:t>
            </w:r>
          </w:p>
        </w:tc>
        <w:tc>
          <w:tcPr>
            <w:tcW w:w="1685" w:type="dxa"/>
            <w:tcBorders>
              <w:bottom w:val="single" w:sz="18" w:space="0" w:color="000000"/>
            </w:tcBorders>
          </w:tcPr>
          <w:p>
            <w:pPr>
              <w:pStyle w:val="TableParagraph"/>
              <w:spacing w:line="167" w:lineRule="exact" w:before="29"/>
              <w:ind w:right="405"/>
              <w:jc w:val="right"/>
              <w:rPr>
                <w:sz w:val="18"/>
              </w:rPr>
            </w:pPr>
            <w:r>
              <w:rPr>
                <w:spacing w:val="-2"/>
                <w:sz w:val="18"/>
              </w:rPr>
              <w:t>(17.526)</w:t>
            </w:r>
          </w:p>
        </w:tc>
        <w:tc>
          <w:tcPr>
            <w:tcW w:w="1048" w:type="dxa"/>
            <w:tcBorders>
              <w:bottom w:val="single" w:sz="18" w:space="0" w:color="000000"/>
            </w:tcBorders>
          </w:tcPr>
          <w:p>
            <w:pPr>
              <w:pStyle w:val="TableParagraph"/>
              <w:spacing w:line="167" w:lineRule="exact" w:before="29"/>
              <w:ind w:right="30"/>
              <w:jc w:val="right"/>
              <w:rPr>
                <w:sz w:val="18"/>
              </w:rPr>
            </w:pPr>
            <w:r>
              <w:rPr>
                <w:spacing w:val="-2"/>
                <w:sz w:val="18"/>
              </w:rPr>
              <w:t>(29.369)</w:t>
            </w:r>
          </w:p>
        </w:tc>
      </w:tr>
      <w:tr>
        <w:trPr>
          <w:trHeight w:val="222" w:hRule="atLeast"/>
        </w:trPr>
        <w:tc>
          <w:tcPr>
            <w:tcW w:w="6094" w:type="dxa"/>
          </w:tcPr>
          <w:p>
            <w:pPr>
              <w:pStyle w:val="TableParagraph"/>
              <w:rPr>
                <w:rFonts w:ascii="Times New Roman"/>
                <w:sz w:val="14"/>
              </w:rPr>
            </w:pPr>
          </w:p>
        </w:tc>
        <w:tc>
          <w:tcPr>
            <w:tcW w:w="1409" w:type="dxa"/>
          </w:tcPr>
          <w:p>
            <w:pPr>
              <w:pStyle w:val="TableParagraph"/>
              <w:rPr>
                <w:rFonts w:ascii="Times New Roman"/>
                <w:sz w:val="16"/>
              </w:rPr>
            </w:pPr>
          </w:p>
        </w:tc>
        <w:tc>
          <w:tcPr>
            <w:tcW w:w="1685" w:type="dxa"/>
            <w:tcBorders>
              <w:top w:val="single" w:sz="18" w:space="0" w:color="000000"/>
              <w:bottom w:val="single" w:sz="24" w:space="0" w:color="000000"/>
            </w:tcBorders>
          </w:tcPr>
          <w:p>
            <w:pPr>
              <w:pStyle w:val="TableParagraph"/>
              <w:spacing w:line="171" w:lineRule="exact" w:before="38"/>
              <w:ind w:right="405"/>
              <w:jc w:val="right"/>
              <w:rPr>
                <w:sz w:val="18"/>
              </w:rPr>
            </w:pPr>
            <w:r>
              <w:rPr>
                <w:spacing w:val="-2"/>
                <w:sz w:val="18"/>
              </w:rPr>
              <w:t>(23.493)</w:t>
            </w:r>
          </w:p>
        </w:tc>
        <w:tc>
          <w:tcPr>
            <w:tcW w:w="1048" w:type="dxa"/>
            <w:tcBorders>
              <w:top w:val="single" w:sz="18" w:space="0" w:color="000000"/>
              <w:bottom w:val="single" w:sz="24" w:space="0" w:color="000000"/>
            </w:tcBorders>
          </w:tcPr>
          <w:p>
            <w:pPr>
              <w:pStyle w:val="TableParagraph"/>
              <w:spacing w:line="171" w:lineRule="exact" w:before="38"/>
              <w:ind w:right="29"/>
              <w:jc w:val="right"/>
              <w:rPr>
                <w:sz w:val="18"/>
              </w:rPr>
            </w:pPr>
            <w:r>
              <w:rPr>
                <w:spacing w:val="-2"/>
                <w:sz w:val="18"/>
              </w:rPr>
              <w:t>61.951</w:t>
            </w:r>
          </w:p>
        </w:tc>
      </w:tr>
      <w:tr>
        <w:trPr>
          <w:trHeight w:val="233" w:hRule="atLeast"/>
        </w:trPr>
        <w:tc>
          <w:tcPr>
            <w:tcW w:w="6094" w:type="dxa"/>
          </w:tcPr>
          <w:p>
            <w:pPr>
              <w:pStyle w:val="TableParagraph"/>
              <w:rPr>
                <w:rFonts w:ascii="Times New Roman"/>
                <w:sz w:val="16"/>
              </w:rPr>
            </w:pPr>
          </w:p>
        </w:tc>
        <w:tc>
          <w:tcPr>
            <w:tcW w:w="1409" w:type="dxa"/>
          </w:tcPr>
          <w:p>
            <w:pPr>
              <w:pStyle w:val="TableParagraph"/>
              <w:rPr>
                <w:rFonts w:ascii="Times New Roman"/>
                <w:sz w:val="16"/>
              </w:rPr>
            </w:pPr>
          </w:p>
        </w:tc>
        <w:tc>
          <w:tcPr>
            <w:tcW w:w="1685" w:type="dxa"/>
            <w:tcBorders>
              <w:top w:val="single" w:sz="24" w:space="0" w:color="000000"/>
              <w:bottom w:val="single" w:sz="18" w:space="0" w:color="000000"/>
            </w:tcBorders>
          </w:tcPr>
          <w:p>
            <w:pPr>
              <w:pStyle w:val="TableParagraph"/>
              <w:rPr>
                <w:rFonts w:ascii="Times New Roman"/>
                <w:sz w:val="16"/>
              </w:rPr>
            </w:pPr>
          </w:p>
        </w:tc>
        <w:tc>
          <w:tcPr>
            <w:tcW w:w="1048" w:type="dxa"/>
            <w:tcBorders>
              <w:top w:val="single" w:sz="24" w:space="0" w:color="000000"/>
              <w:bottom w:val="single" w:sz="18" w:space="0" w:color="000000"/>
            </w:tcBorders>
          </w:tcPr>
          <w:p>
            <w:pPr>
              <w:pStyle w:val="TableParagraph"/>
              <w:rPr>
                <w:rFonts w:ascii="Times New Roman"/>
                <w:sz w:val="16"/>
              </w:rPr>
            </w:pPr>
          </w:p>
        </w:tc>
      </w:tr>
      <w:tr>
        <w:trPr>
          <w:trHeight w:val="204" w:hRule="atLeast"/>
        </w:trPr>
        <w:tc>
          <w:tcPr>
            <w:tcW w:w="6094" w:type="dxa"/>
          </w:tcPr>
          <w:p>
            <w:pPr>
              <w:pStyle w:val="TableParagraph"/>
              <w:spacing w:line="184" w:lineRule="exact"/>
              <w:ind w:left="50"/>
              <w:rPr>
                <w:b/>
                <w:sz w:val="18"/>
              </w:rPr>
            </w:pPr>
            <w:r>
              <w:rPr>
                <w:b/>
                <w:sz w:val="18"/>
              </w:rPr>
              <w:t>Lucro</w:t>
            </w:r>
            <w:r>
              <w:rPr>
                <w:b/>
                <w:spacing w:val="-4"/>
                <w:sz w:val="18"/>
              </w:rPr>
              <w:t> </w:t>
            </w:r>
            <w:r>
              <w:rPr>
                <w:b/>
                <w:sz w:val="18"/>
              </w:rPr>
              <w:t>(prejuízo)</w:t>
            </w:r>
            <w:r>
              <w:rPr>
                <w:b/>
                <w:spacing w:val="-3"/>
                <w:sz w:val="18"/>
              </w:rPr>
              <w:t> </w:t>
            </w:r>
            <w:r>
              <w:rPr>
                <w:b/>
                <w:sz w:val="18"/>
              </w:rPr>
              <w:t>antes</w:t>
            </w:r>
            <w:r>
              <w:rPr>
                <w:b/>
                <w:spacing w:val="-3"/>
                <w:sz w:val="18"/>
              </w:rPr>
              <w:t> </w:t>
            </w:r>
            <w:r>
              <w:rPr>
                <w:b/>
                <w:sz w:val="18"/>
              </w:rPr>
              <w:t>do</w:t>
            </w:r>
            <w:r>
              <w:rPr>
                <w:b/>
                <w:spacing w:val="-1"/>
                <w:sz w:val="18"/>
              </w:rPr>
              <w:t> </w:t>
            </w:r>
            <w:r>
              <w:rPr>
                <w:b/>
                <w:sz w:val="18"/>
              </w:rPr>
              <w:t>resultado</w:t>
            </w:r>
            <w:r>
              <w:rPr>
                <w:b/>
                <w:spacing w:val="-4"/>
                <w:sz w:val="18"/>
              </w:rPr>
              <w:t> </w:t>
            </w:r>
            <w:r>
              <w:rPr>
                <w:b/>
                <w:sz w:val="18"/>
              </w:rPr>
              <w:t>financeiro</w:t>
            </w:r>
            <w:r>
              <w:rPr>
                <w:b/>
                <w:spacing w:val="-2"/>
                <w:sz w:val="18"/>
              </w:rPr>
              <w:t> </w:t>
            </w:r>
            <w:r>
              <w:rPr>
                <w:b/>
                <w:sz w:val="18"/>
              </w:rPr>
              <w:t>e</w:t>
            </w:r>
            <w:r>
              <w:rPr>
                <w:b/>
                <w:spacing w:val="-1"/>
                <w:sz w:val="18"/>
              </w:rPr>
              <w:t> </w:t>
            </w:r>
            <w:r>
              <w:rPr>
                <w:b/>
                <w:spacing w:val="-2"/>
                <w:sz w:val="18"/>
              </w:rPr>
              <w:t>impostos</w:t>
            </w:r>
          </w:p>
        </w:tc>
        <w:tc>
          <w:tcPr>
            <w:tcW w:w="1409" w:type="dxa"/>
          </w:tcPr>
          <w:p>
            <w:pPr>
              <w:pStyle w:val="TableParagraph"/>
              <w:rPr>
                <w:rFonts w:ascii="Times New Roman"/>
                <w:sz w:val="12"/>
              </w:rPr>
            </w:pPr>
          </w:p>
        </w:tc>
        <w:tc>
          <w:tcPr>
            <w:tcW w:w="1685" w:type="dxa"/>
            <w:tcBorders>
              <w:top w:val="single" w:sz="18" w:space="0" w:color="000000"/>
              <w:bottom w:val="single" w:sz="18" w:space="0" w:color="000000"/>
            </w:tcBorders>
          </w:tcPr>
          <w:p>
            <w:pPr>
              <w:pStyle w:val="TableParagraph"/>
              <w:spacing w:line="159" w:lineRule="exact" w:before="10"/>
              <w:ind w:right="405"/>
              <w:jc w:val="right"/>
              <w:rPr>
                <w:sz w:val="18"/>
              </w:rPr>
            </w:pPr>
            <w:r>
              <w:rPr>
                <w:spacing w:val="-2"/>
                <w:sz w:val="18"/>
              </w:rPr>
              <w:t>(23.493)</w:t>
            </w:r>
          </w:p>
        </w:tc>
        <w:tc>
          <w:tcPr>
            <w:tcW w:w="1048" w:type="dxa"/>
            <w:tcBorders>
              <w:top w:val="single" w:sz="18" w:space="0" w:color="000000"/>
              <w:bottom w:val="single" w:sz="18" w:space="0" w:color="000000"/>
            </w:tcBorders>
          </w:tcPr>
          <w:p>
            <w:pPr>
              <w:pStyle w:val="TableParagraph"/>
              <w:spacing w:line="159" w:lineRule="exact" w:before="10"/>
              <w:ind w:right="29"/>
              <w:jc w:val="right"/>
              <w:rPr>
                <w:sz w:val="18"/>
              </w:rPr>
            </w:pPr>
            <w:r>
              <w:rPr>
                <w:spacing w:val="-2"/>
                <w:sz w:val="18"/>
              </w:rPr>
              <w:t>61.951</w:t>
            </w:r>
          </w:p>
        </w:tc>
      </w:tr>
      <w:tr>
        <w:trPr>
          <w:trHeight w:val="495" w:hRule="atLeast"/>
        </w:trPr>
        <w:tc>
          <w:tcPr>
            <w:tcW w:w="6094" w:type="dxa"/>
          </w:tcPr>
          <w:p>
            <w:pPr>
              <w:pStyle w:val="TableParagraph"/>
              <w:spacing w:before="29"/>
              <w:rPr>
                <w:i/>
                <w:sz w:val="18"/>
              </w:rPr>
            </w:pPr>
          </w:p>
          <w:p>
            <w:pPr>
              <w:pStyle w:val="TableParagraph"/>
              <w:ind w:left="50"/>
              <w:rPr>
                <w:sz w:val="18"/>
              </w:rPr>
            </w:pPr>
            <w:r>
              <w:rPr>
                <w:sz w:val="18"/>
              </w:rPr>
              <w:t>Resultado</w:t>
            </w:r>
            <w:r>
              <w:rPr>
                <w:spacing w:val="-9"/>
                <w:sz w:val="18"/>
              </w:rPr>
              <w:t> </w:t>
            </w:r>
            <w:r>
              <w:rPr>
                <w:sz w:val="18"/>
              </w:rPr>
              <w:t>financeiro</w:t>
            </w:r>
            <w:r>
              <w:rPr>
                <w:spacing w:val="-7"/>
                <w:sz w:val="18"/>
              </w:rPr>
              <w:t> </w:t>
            </w:r>
            <w:r>
              <w:rPr>
                <w:spacing w:val="-2"/>
                <w:sz w:val="18"/>
              </w:rPr>
              <w:t>líquido</w:t>
            </w:r>
          </w:p>
        </w:tc>
        <w:tc>
          <w:tcPr>
            <w:tcW w:w="1409" w:type="dxa"/>
          </w:tcPr>
          <w:p>
            <w:pPr>
              <w:pStyle w:val="TableParagraph"/>
              <w:spacing w:before="95"/>
              <w:rPr>
                <w:i/>
                <w:sz w:val="18"/>
              </w:rPr>
            </w:pPr>
          </w:p>
          <w:p>
            <w:pPr>
              <w:pStyle w:val="TableParagraph"/>
              <w:spacing w:line="150" w:lineRule="exact" w:before="1"/>
              <w:ind w:right="52"/>
              <w:jc w:val="right"/>
              <w:rPr>
                <w:sz w:val="18"/>
              </w:rPr>
            </w:pPr>
            <w:r>
              <w:rPr>
                <w:spacing w:val="-5"/>
                <w:sz w:val="18"/>
              </w:rPr>
              <w:t>15</w:t>
            </w:r>
          </w:p>
        </w:tc>
        <w:tc>
          <w:tcPr>
            <w:tcW w:w="1685" w:type="dxa"/>
            <w:tcBorders>
              <w:top w:val="single" w:sz="18" w:space="0" w:color="000000"/>
              <w:bottom w:val="single" w:sz="18" w:space="0" w:color="000000"/>
            </w:tcBorders>
          </w:tcPr>
          <w:p>
            <w:pPr>
              <w:pStyle w:val="TableParagraph"/>
              <w:spacing w:before="95"/>
              <w:rPr>
                <w:i/>
                <w:sz w:val="18"/>
              </w:rPr>
            </w:pPr>
          </w:p>
          <w:p>
            <w:pPr>
              <w:pStyle w:val="TableParagraph"/>
              <w:spacing w:line="150" w:lineRule="exact" w:before="1"/>
              <w:ind w:right="407"/>
              <w:jc w:val="right"/>
              <w:rPr>
                <w:sz w:val="18"/>
              </w:rPr>
            </w:pPr>
            <w:r>
              <w:rPr>
                <w:spacing w:val="-2"/>
                <w:sz w:val="18"/>
              </w:rPr>
              <w:t>24.965</w:t>
            </w:r>
          </w:p>
        </w:tc>
        <w:tc>
          <w:tcPr>
            <w:tcW w:w="1048" w:type="dxa"/>
            <w:tcBorders>
              <w:top w:val="single" w:sz="18" w:space="0" w:color="000000"/>
              <w:bottom w:val="single" w:sz="18" w:space="0" w:color="000000"/>
            </w:tcBorders>
          </w:tcPr>
          <w:p>
            <w:pPr>
              <w:pStyle w:val="TableParagraph"/>
              <w:spacing w:before="95"/>
              <w:rPr>
                <w:i/>
                <w:sz w:val="18"/>
              </w:rPr>
            </w:pPr>
          </w:p>
          <w:p>
            <w:pPr>
              <w:pStyle w:val="TableParagraph"/>
              <w:spacing w:line="150" w:lineRule="exact" w:before="1"/>
              <w:ind w:right="29"/>
              <w:jc w:val="right"/>
              <w:rPr>
                <w:sz w:val="18"/>
              </w:rPr>
            </w:pPr>
            <w:r>
              <w:rPr>
                <w:spacing w:val="-2"/>
                <w:sz w:val="18"/>
              </w:rPr>
              <w:t>2.351</w:t>
            </w:r>
          </w:p>
        </w:tc>
      </w:tr>
      <w:tr>
        <w:trPr>
          <w:trHeight w:val="270" w:hRule="atLeast"/>
        </w:trPr>
        <w:tc>
          <w:tcPr>
            <w:tcW w:w="6094" w:type="dxa"/>
          </w:tcPr>
          <w:p>
            <w:pPr>
              <w:pStyle w:val="TableParagraph"/>
              <w:spacing w:line="216" w:lineRule="exact"/>
              <w:ind w:left="257"/>
              <w:rPr>
                <w:sz w:val="18"/>
              </w:rPr>
            </w:pPr>
            <w:r>
              <w:rPr>
                <w:sz w:val="18"/>
              </w:rPr>
              <w:t>Receitas</w:t>
            </w:r>
            <w:r>
              <w:rPr>
                <w:spacing w:val="-5"/>
                <w:sz w:val="18"/>
              </w:rPr>
              <w:t> </w:t>
            </w:r>
            <w:r>
              <w:rPr>
                <w:spacing w:val="-2"/>
                <w:sz w:val="18"/>
              </w:rPr>
              <w:t>financeiras</w:t>
            </w:r>
          </w:p>
        </w:tc>
        <w:tc>
          <w:tcPr>
            <w:tcW w:w="1409" w:type="dxa"/>
          </w:tcPr>
          <w:p>
            <w:pPr>
              <w:pStyle w:val="TableParagraph"/>
              <w:rPr>
                <w:rFonts w:ascii="Times New Roman"/>
                <w:sz w:val="18"/>
              </w:rPr>
            </w:pPr>
          </w:p>
        </w:tc>
        <w:tc>
          <w:tcPr>
            <w:tcW w:w="1685" w:type="dxa"/>
            <w:tcBorders>
              <w:top w:val="single" w:sz="18" w:space="0" w:color="000000"/>
            </w:tcBorders>
          </w:tcPr>
          <w:p>
            <w:pPr>
              <w:pStyle w:val="TableParagraph"/>
              <w:spacing w:before="55"/>
              <w:ind w:right="403"/>
              <w:jc w:val="right"/>
              <w:rPr>
                <w:sz w:val="18"/>
              </w:rPr>
            </w:pPr>
            <w:r>
              <w:rPr>
                <w:spacing w:val="-2"/>
                <w:sz w:val="18"/>
              </w:rPr>
              <w:t>6.046</w:t>
            </w:r>
          </w:p>
        </w:tc>
        <w:tc>
          <w:tcPr>
            <w:tcW w:w="1048" w:type="dxa"/>
            <w:tcBorders>
              <w:top w:val="single" w:sz="18" w:space="0" w:color="000000"/>
            </w:tcBorders>
          </w:tcPr>
          <w:p>
            <w:pPr>
              <w:pStyle w:val="TableParagraph"/>
              <w:spacing w:before="55"/>
              <w:ind w:right="99"/>
              <w:jc w:val="right"/>
              <w:rPr>
                <w:sz w:val="18"/>
              </w:rPr>
            </w:pPr>
            <w:r>
              <w:rPr>
                <w:spacing w:val="-2"/>
                <w:sz w:val="18"/>
              </w:rPr>
              <w:t>3.511</w:t>
            </w:r>
          </w:p>
        </w:tc>
      </w:tr>
      <w:tr>
        <w:trPr>
          <w:trHeight w:val="269" w:hRule="atLeast"/>
        </w:trPr>
        <w:tc>
          <w:tcPr>
            <w:tcW w:w="6094" w:type="dxa"/>
          </w:tcPr>
          <w:p>
            <w:pPr>
              <w:pStyle w:val="TableParagraph"/>
              <w:spacing w:line="207" w:lineRule="exact"/>
              <w:ind w:left="257"/>
              <w:rPr>
                <w:sz w:val="18"/>
              </w:rPr>
            </w:pPr>
            <w:r>
              <w:rPr>
                <w:sz w:val="18"/>
              </w:rPr>
              <w:t>Despesas</w:t>
            </w:r>
            <w:r>
              <w:rPr>
                <w:spacing w:val="-6"/>
                <w:sz w:val="18"/>
              </w:rPr>
              <w:t> </w:t>
            </w:r>
            <w:r>
              <w:rPr>
                <w:spacing w:val="-2"/>
                <w:sz w:val="18"/>
              </w:rPr>
              <w:t>financeiras</w:t>
            </w:r>
          </w:p>
        </w:tc>
        <w:tc>
          <w:tcPr>
            <w:tcW w:w="1409" w:type="dxa"/>
          </w:tcPr>
          <w:p>
            <w:pPr>
              <w:pStyle w:val="TableParagraph"/>
              <w:rPr>
                <w:rFonts w:ascii="Times New Roman"/>
                <w:sz w:val="18"/>
              </w:rPr>
            </w:pPr>
          </w:p>
        </w:tc>
        <w:tc>
          <w:tcPr>
            <w:tcW w:w="1685" w:type="dxa"/>
          </w:tcPr>
          <w:p>
            <w:pPr>
              <w:pStyle w:val="TableParagraph"/>
              <w:spacing w:line="219" w:lineRule="exact" w:before="30"/>
              <w:ind w:right="406"/>
              <w:jc w:val="right"/>
              <w:rPr>
                <w:sz w:val="18"/>
              </w:rPr>
            </w:pPr>
            <w:r>
              <w:rPr>
                <w:spacing w:val="-2"/>
                <w:sz w:val="18"/>
              </w:rPr>
              <w:t>(216)</w:t>
            </w:r>
          </w:p>
        </w:tc>
        <w:tc>
          <w:tcPr>
            <w:tcW w:w="1048" w:type="dxa"/>
          </w:tcPr>
          <w:p>
            <w:pPr>
              <w:pStyle w:val="TableParagraph"/>
              <w:spacing w:line="219" w:lineRule="exact" w:before="30"/>
              <w:ind w:right="99"/>
              <w:jc w:val="right"/>
              <w:rPr>
                <w:sz w:val="18"/>
              </w:rPr>
            </w:pPr>
            <w:r>
              <w:rPr>
                <w:spacing w:val="-5"/>
                <w:sz w:val="18"/>
              </w:rPr>
              <w:t>(4)</w:t>
            </w:r>
          </w:p>
        </w:tc>
      </w:tr>
      <w:tr>
        <w:trPr>
          <w:trHeight w:val="293" w:hRule="atLeast"/>
        </w:trPr>
        <w:tc>
          <w:tcPr>
            <w:tcW w:w="6094" w:type="dxa"/>
          </w:tcPr>
          <w:p>
            <w:pPr>
              <w:pStyle w:val="TableParagraph"/>
              <w:spacing w:line="206" w:lineRule="exact"/>
              <w:ind w:left="257"/>
              <w:rPr>
                <w:sz w:val="18"/>
              </w:rPr>
            </w:pPr>
            <w:r>
              <w:rPr>
                <w:sz w:val="18"/>
              </w:rPr>
              <w:t>Variações</w:t>
            </w:r>
            <w:r>
              <w:rPr>
                <w:spacing w:val="-3"/>
                <w:sz w:val="18"/>
              </w:rPr>
              <w:t> </w:t>
            </w:r>
            <w:r>
              <w:rPr>
                <w:sz w:val="18"/>
              </w:rPr>
              <w:t>monetárias</w:t>
            </w:r>
            <w:r>
              <w:rPr>
                <w:spacing w:val="-2"/>
                <w:sz w:val="18"/>
              </w:rPr>
              <w:t> </w:t>
            </w:r>
            <w:r>
              <w:rPr>
                <w:sz w:val="18"/>
              </w:rPr>
              <w:t>e</w:t>
            </w:r>
            <w:r>
              <w:rPr>
                <w:spacing w:val="-2"/>
                <w:sz w:val="18"/>
              </w:rPr>
              <w:t> </w:t>
            </w:r>
            <w:r>
              <w:rPr>
                <w:sz w:val="18"/>
              </w:rPr>
              <w:t>cambiais,</w:t>
            </w:r>
            <w:r>
              <w:rPr>
                <w:spacing w:val="-3"/>
                <w:sz w:val="18"/>
              </w:rPr>
              <w:t> </w:t>
            </w:r>
            <w:r>
              <w:rPr>
                <w:spacing w:val="-2"/>
                <w:sz w:val="18"/>
              </w:rPr>
              <w:t>líquidas</w:t>
            </w:r>
          </w:p>
        </w:tc>
        <w:tc>
          <w:tcPr>
            <w:tcW w:w="1409" w:type="dxa"/>
          </w:tcPr>
          <w:p>
            <w:pPr>
              <w:pStyle w:val="TableParagraph"/>
              <w:rPr>
                <w:rFonts w:ascii="Times New Roman"/>
                <w:sz w:val="18"/>
              </w:rPr>
            </w:pPr>
          </w:p>
        </w:tc>
        <w:tc>
          <w:tcPr>
            <w:tcW w:w="1685" w:type="dxa"/>
            <w:tcBorders>
              <w:bottom w:val="single" w:sz="4" w:space="0" w:color="000000"/>
            </w:tcBorders>
          </w:tcPr>
          <w:p>
            <w:pPr>
              <w:pStyle w:val="TableParagraph"/>
              <w:spacing w:before="29"/>
              <w:ind w:right="407"/>
              <w:jc w:val="right"/>
              <w:rPr>
                <w:sz w:val="18"/>
              </w:rPr>
            </w:pPr>
            <w:r>
              <w:rPr>
                <w:spacing w:val="-2"/>
                <w:sz w:val="18"/>
              </w:rPr>
              <w:t>19.135</w:t>
            </w:r>
          </w:p>
        </w:tc>
        <w:tc>
          <w:tcPr>
            <w:tcW w:w="1048" w:type="dxa"/>
            <w:tcBorders>
              <w:bottom w:val="single" w:sz="4" w:space="0" w:color="000000"/>
            </w:tcBorders>
          </w:tcPr>
          <w:p>
            <w:pPr>
              <w:pStyle w:val="TableParagraph"/>
              <w:spacing w:before="29"/>
              <w:ind w:right="97"/>
              <w:jc w:val="right"/>
              <w:rPr>
                <w:sz w:val="18"/>
              </w:rPr>
            </w:pPr>
            <w:r>
              <w:rPr>
                <w:spacing w:val="-2"/>
                <w:sz w:val="18"/>
              </w:rPr>
              <w:t>(1.156)</w:t>
            </w:r>
          </w:p>
        </w:tc>
      </w:tr>
      <w:tr>
        <w:trPr>
          <w:trHeight w:val="233" w:hRule="atLeast"/>
        </w:trPr>
        <w:tc>
          <w:tcPr>
            <w:tcW w:w="6094" w:type="dxa"/>
          </w:tcPr>
          <w:p>
            <w:pPr>
              <w:pStyle w:val="TableParagraph"/>
              <w:spacing w:line="210" w:lineRule="exact" w:before="3"/>
              <w:ind w:left="50"/>
              <w:rPr>
                <w:b/>
                <w:sz w:val="18"/>
              </w:rPr>
            </w:pPr>
            <w:r>
              <w:rPr>
                <w:b/>
                <w:sz w:val="18"/>
              </w:rPr>
              <w:t>Lucro</w:t>
            </w:r>
            <w:r>
              <w:rPr>
                <w:b/>
                <w:spacing w:val="-2"/>
                <w:sz w:val="18"/>
              </w:rPr>
              <w:t> </w:t>
            </w:r>
            <w:r>
              <w:rPr>
                <w:b/>
                <w:sz w:val="18"/>
              </w:rPr>
              <w:t>antes</w:t>
            </w:r>
            <w:r>
              <w:rPr>
                <w:b/>
                <w:spacing w:val="-1"/>
                <w:sz w:val="18"/>
              </w:rPr>
              <w:t> </w:t>
            </w:r>
            <w:r>
              <w:rPr>
                <w:b/>
                <w:sz w:val="18"/>
              </w:rPr>
              <w:t>do</w:t>
            </w:r>
            <w:r>
              <w:rPr>
                <w:b/>
                <w:spacing w:val="-2"/>
                <w:sz w:val="18"/>
              </w:rPr>
              <w:t> </w:t>
            </w:r>
            <w:r>
              <w:rPr>
                <w:b/>
                <w:sz w:val="18"/>
              </w:rPr>
              <w:t>imposto</w:t>
            </w:r>
            <w:r>
              <w:rPr>
                <w:b/>
                <w:spacing w:val="-2"/>
                <w:sz w:val="18"/>
              </w:rPr>
              <w:t> </w:t>
            </w:r>
            <w:r>
              <w:rPr>
                <w:b/>
                <w:sz w:val="18"/>
              </w:rPr>
              <w:t>de</w:t>
            </w:r>
            <w:r>
              <w:rPr>
                <w:b/>
                <w:spacing w:val="-2"/>
                <w:sz w:val="18"/>
              </w:rPr>
              <w:t> </w:t>
            </w:r>
            <w:r>
              <w:rPr>
                <w:b/>
                <w:sz w:val="18"/>
              </w:rPr>
              <w:t>renda</w:t>
            </w:r>
            <w:r>
              <w:rPr>
                <w:b/>
                <w:spacing w:val="-2"/>
                <w:sz w:val="18"/>
              </w:rPr>
              <w:t> </w:t>
            </w:r>
            <w:r>
              <w:rPr>
                <w:b/>
                <w:sz w:val="18"/>
              </w:rPr>
              <w:t>e</w:t>
            </w:r>
            <w:r>
              <w:rPr>
                <w:b/>
                <w:spacing w:val="-1"/>
                <w:sz w:val="18"/>
              </w:rPr>
              <w:t> </w:t>
            </w:r>
            <w:r>
              <w:rPr>
                <w:b/>
                <w:sz w:val="18"/>
              </w:rPr>
              <w:t>contribuição</w:t>
            </w:r>
            <w:r>
              <w:rPr>
                <w:b/>
                <w:spacing w:val="-3"/>
                <w:sz w:val="18"/>
              </w:rPr>
              <w:t> </w:t>
            </w:r>
            <w:r>
              <w:rPr>
                <w:b/>
                <w:spacing w:val="-2"/>
                <w:sz w:val="18"/>
              </w:rPr>
              <w:t>social</w:t>
            </w:r>
          </w:p>
        </w:tc>
        <w:tc>
          <w:tcPr>
            <w:tcW w:w="1409" w:type="dxa"/>
          </w:tcPr>
          <w:p>
            <w:pPr>
              <w:pStyle w:val="TableParagraph"/>
              <w:rPr>
                <w:rFonts w:ascii="Times New Roman"/>
                <w:sz w:val="16"/>
              </w:rPr>
            </w:pPr>
          </w:p>
        </w:tc>
        <w:tc>
          <w:tcPr>
            <w:tcW w:w="1685" w:type="dxa"/>
            <w:tcBorders>
              <w:top w:val="single" w:sz="4" w:space="0" w:color="000000"/>
              <w:bottom w:val="single" w:sz="18" w:space="0" w:color="000000"/>
            </w:tcBorders>
          </w:tcPr>
          <w:p>
            <w:pPr>
              <w:pStyle w:val="TableParagraph"/>
              <w:spacing w:line="168" w:lineRule="exact" w:before="39"/>
              <w:ind w:right="407"/>
              <w:jc w:val="right"/>
              <w:rPr>
                <w:sz w:val="18"/>
              </w:rPr>
            </w:pPr>
            <w:r>
              <w:rPr>
                <w:spacing w:val="-2"/>
                <w:sz w:val="18"/>
              </w:rPr>
              <w:t>1.472</w:t>
            </w:r>
          </w:p>
        </w:tc>
        <w:tc>
          <w:tcPr>
            <w:tcW w:w="1048" w:type="dxa"/>
            <w:tcBorders>
              <w:top w:val="single" w:sz="4" w:space="0" w:color="000000"/>
              <w:bottom w:val="single" w:sz="18" w:space="0" w:color="000000"/>
            </w:tcBorders>
          </w:tcPr>
          <w:p>
            <w:pPr>
              <w:pStyle w:val="TableParagraph"/>
              <w:spacing w:line="168" w:lineRule="exact" w:before="39"/>
              <w:ind w:right="29"/>
              <w:jc w:val="right"/>
              <w:rPr>
                <w:sz w:val="18"/>
              </w:rPr>
            </w:pPr>
            <w:r>
              <w:rPr>
                <w:spacing w:val="-2"/>
                <w:sz w:val="18"/>
              </w:rPr>
              <w:t>64.302</w:t>
            </w:r>
          </w:p>
        </w:tc>
      </w:tr>
      <w:tr>
        <w:trPr>
          <w:trHeight w:val="790" w:hRule="atLeast"/>
        </w:trPr>
        <w:tc>
          <w:tcPr>
            <w:tcW w:w="6094" w:type="dxa"/>
          </w:tcPr>
          <w:p>
            <w:pPr>
              <w:pStyle w:val="TableParagraph"/>
              <w:spacing w:before="29"/>
              <w:rPr>
                <w:i/>
                <w:sz w:val="18"/>
              </w:rPr>
            </w:pPr>
          </w:p>
          <w:p>
            <w:pPr>
              <w:pStyle w:val="TableParagraph"/>
              <w:ind w:left="50"/>
              <w:rPr>
                <w:sz w:val="18"/>
              </w:rPr>
            </w:pPr>
            <w:r>
              <w:rPr>
                <w:sz w:val="18"/>
              </w:rPr>
              <w:t>Imposto</w:t>
            </w:r>
            <w:r>
              <w:rPr>
                <w:spacing w:val="-3"/>
                <w:sz w:val="18"/>
              </w:rPr>
              <w:t> </w:t>
            </w:r>
            <w:r>
              <w:rPr>
                <w:sz w:val="18"/>
              </w:rPr>
              <w:t>de</w:t>
            </w:r>
            <w:r>
              <w:rPr>
                <w:spacing w:val="-3"/>
                <w:sz w:val="18"/>
              </w:rPr>
              <w:t> </w:t>
            </w:r>
            <w:r>
              <w:rPr>
                <w:sz w:val="18"/>
              </w:rPr>
              <w:t>renda</w:t>
            </w:r>
            <w:r>
              <w:rPr>
                <w:spacing w:val="-3"/>
                <w:sz w:val="18"/>
              </w:rPr>
              <w:t> </w:t>
            </w:r>
            <w:r>
              <w:rPr>
                <w:sz w:val="18"/>
              </w:rPr>
              <w:t>e</w:t>
            </w:r>
            <w:r>
              <w:rPr>
                <w:spacing w:val="-3"/>
                <w:sz w:val="18"/>
              </w:rPr>
              <w:t> </w:t>
            </w:r>
            <w:r>
              <w:rPr>
                <w:sz w:val="18"/>
              </w:rPr>
              <w:t>contribuição</w:t>
            </w:r>
            <w:r>
              <w:rPr>
                <w:spacing w:val="-1"/>
                <w:sz w:val="18"/>
              </w:rPr>
              <w:t> </w:t>
            </w:r>
            <w:r>
              <w:rPr>
                <w:spacing w:val="-2"/>
                <w:sz w:val="18"/>
              </w:rPr>
              <w:t>social</w:t>
            </w:r>
          </w:p>
        </w:tc>
        <w:tc>
          <w:tcPr>
            <w:tcW w:w="1409" w:type="dxa"/>
          </w:tcPr>
          <w:p>
            <w:pPr>
              <w:pStyle w:val="TableParagraph"/>
              <w:spacing w:before="86"/>
              <w:rPr>
                <w:i/>
                <w:sz w:val="18"/>
              </w:rPr>
            </w:pPr>
          </w:p>
          <w:p>
            <w:pPr>
              <w:pStyle w:val="TableParagraph"/>
              <w:ind w:right="52"/>
              <w:jc w:val="right"/>
              <w:rPr>
                <w:sz w:val="18"/>
              </w:rPr>
            </w:pPr>
            <w:r>
              <w:rPr>
                <w:spacing w:val="-4"/>
                <w:sz w:val="18"/>
              </w:rPr>
              <w:t>10.2</w:t>
            </w:r>
          </w:p>
        </w:tc>
        <w:tc>
          <w:tcPr>
            <w:tcW w:w="1685" w:type="dxa"/>
            <w:tcBorders>
              <w:top w:val="single" w:sz="18" w:space="0" w:color="000000"/>
              <w:bottom w:val="single" w:sz="4" w:space="0" w:color="000000"/>
            </w:tcBorders>
          </w:tcPr>
          <w:p>
            <w:pPr>
              <w:pStyle w:val="TableParagraph"/>
              <w:spacing w:before="86"/>
              <w:rPr>
                <w:i/>
                <w:sz w:val="18"/>
              </w:rPr>
            </w:pPr>
          </w:p>
          <w:p>
            <w:pPr>
              <w:pStyle w:val="TableParagraph"/>
              <w:ind w:right="403"/>
              <w:jc w:val="right"/>
              <w:rPr>
                <w:sz w:val="18"/>
              </w:rPr>
            </w:pPr>
            <w:r>
              <w:rPr>
                <w:spacing w:val="-10"/>
                <w:sz w:val="18"/>
              </w:rPr>
              <w:t>‐</w:t>
            </w:r>
          </w:p>
        </w:tc>
        <w:tc>
          <w:tcPr>
            <w:tcW w:w="1048" w:type="dxa"/>
            <w:tcBorders>
              <w:top w:val="single" w:sz="18" w:space="0" w:color="000000"/>
              <w:bottom w:val="single" w:sz="4" w:space="0" w:color="000000"/>
            </w:tcBorders>
          </w:tcPr>
          <w:p>
            <w:pPr>
              <w:pStyle w:val="TableParagraph"/>
              <w:spacing w:before="86"/>
              <w:rPr>
                <w:i/>
                <w:sz w:val="18"/>
              </w:rPr>
            </w:pPr>
          </w:p>
          <w:p>
            <w:pPr>
              <w:pStyle w:val="TableParagraph"/>
              <w:ind w:right="100"/>
              <w:jc w:val="right"/>
              <w:rPr>
                <w:sz w:val="18"/>
              </w:rPr>
            </w:pPr>
            <w:r>
              <w:rPr>
                <w:spacing w:val="-10"/>
                <w:sz w:val="18"/>
              </w:rPr>
              <w:t>‐</w:t>
            </w:r>
          </w:p>
        </w:tc>
      </w:tr>
      <w:tr>
        <w:trPr>
          <w:trHeight w:val="255" w:hRule="atLeast"/>
        </w:trPr>
        <w:tc>
          <w:tcPr>
            <w:tcW w:w="6094" w:type="dxa"/>
          </w:tcPr>
          <w:p>
            <w:pPr>
              <w:pStyle w:val="TableParagraph"/>
              <w:spacing w:before="3"/>
              <w:ind w:left="50"/>
              <w:rPr>
                <w:b/>
                <w:sz w:val="18"/>
              </w:rPr>
            </w:pPr>
            <w:r>
              <w:rPr>
                <w:b/>
                <w:sz w:val="18"/>
              </w:rPr>
              <w:t>Lucro</w:t>
            </w:r>
            <w:r>
              <w:rPr>
                <w:b/>
                <w:spacing w:val="-4"/>
                <w:sz w:val="18"/>
              </w:rPr>
              <w:t> </w:t>
            </w:r>
            <w:r>
              <w:rPr>
                <w:b/>
                <w:sz w:val="18"/>
              </w:rPr>
              <w:t>líquido</w:t>
            </w:r>
            <w:r>
              <w:rPr>
                <w:b/>
                <w:spacing w:val="-3"/>
                <w:sz w:val="18"/>
              </w:rPr>
              <w:t> </w:t>
            </w:r>
            <w:r>
              <w:rPr>
                <w:b/>
                <w:sz w:val="18"/>
              </w:rPr>
              <w:t>do</w:t>
            </w:r>
            <w:r>
              <w:rPr>
                <w:b/>
                <w:spacing w:val="-4"/>
                <w:sz w:val="18"/>
              </w:rPr>
              <w:t> </w:t>
            </w:r>
            <w:r>
              <w:rPr>
                <w:b/>
                <w:spacing w:val="-2"/>
                <w:sz w:val="18"/>
              </w:rPr>
              <w:t>exercício</w:t>
            </w:r>
          </w:p>
        </w:tc>
        <w:tc>
          <w:tcPr>
            <w:tcW w:w="1409" w:type="dxa"/>
          </w:tcPr>
          <w:p>
            <w:pPr>
              <w:pStyle w:val="TableParagraph"/>
              <w:rPr>
                <w:rFonts w:ascii="Times New Roman"/>
                <w:sz w:val="18"/>
              </w:rPr>
            </w:pPr>
          </w:p>
        </w:tc>
        <w:tc>
          <w:tcPr>
            <w:tcW w:w="1685" w:type="dxa"/>
            <w:tcBorders>
              <w:top w:val="single" w:sz="4" w:space="0" w:color="000000"/>
              <w:bottom w:val="single" w:sz="24" w:space="0" w:color="000000"/>
            </w:tcBorders>
          </w:tcPr>
          <w:p>
            <w:pPr>
              <w:pStyle w:val="TableParagraph"/>
              <w:spacing w:line="211" w:lineRule="exact" w:before="24"/>
              <w:ind w:right="407"/>
              <w:jc w:val="right"/>
              <w:rPr>
                <w:sz w:val="18"/>
              </w:rPr>
            </w:pPr>
            <w:r>
              <w:rPr>
                <w:spacing w:val="-2"/>
                <w:sz w:val="18"/>
              </w:rPr>
              <w:t>1.472</w:t>
            </w:r>
          </w:p>
        </w:tc>
        <w:tc>
          <w:tcPr>
            <w:tcW w:w="1048" w:type="dxa"/>
            <w:tcBorders>
              <w:top w:val="single" w:sz="4" w:space="0" w:color="000000"/>
              <w:bottom w:val="single" w:sz="24" w:space="0" w:color="000000"/>
            </w:tcBorders>
          </w:tcPr>
          <w:p>
            <w:pPr>
              <w:pStyle w:val="TableParagraph"/>
              <w:spacing w:line="211" w:lineRule="exact" w:before="24"/>
              <w:ind w:right="100"/>
              <w:jc w:val="right"/>
              <w:rPr>
                <w:sz w:val="18"/>
              </w:rPr>
            </w:pPr>
            <w:r>
              <w:rPr>
                <w:spacing w:val="-2"/>
                <w:sz w:val="18"/>
              </w:rPr>
              <w:t>64.302</w:t>
            </w:r>
          </w:p>
        </w:tc>
      </w:tr>
      <w:tr>
        <w:trPr>
          <w:trHeight w:val="622" w:hRule="atLeast"/>
        </w:trPr>
        <w:tc>
          <w:tcPr>
            <w:tcW w:w="6094" w:type="dxa"/>
          </w:tcPr>
          <w:p>
            <w:pPr>
              <w:pStyle w:val="TableParagraph"/>
              <w:spacing w:before="214"/>
              <w:ind w:left="50"/>
              <w:rPr>
                <w:sz w:val="18"/>
              </w:rPr>
            </w:pPr>
            <w:r>
              <w:rPr>
                <w:sz w:val="18"/>
              </w:rPr>
              <w:t>Lucro</w:t>
            </w:r>
            <w:r>
              <w:rPr>
                <w:spacing w:val="-3"/>
                <w:sz w:val="18"/>
              </w:rPr>
              <w:t> </w:t>
            </w:r>
            <w:r>
              <w:rPr>
                <w:sz w:val="18"/>
              </w:rPr>
              <w:t>líquido</w:t>
            </w:r>
            <w:r>
              <w:rPr>
                <w:spacing w:val="-3"/>
                <w:sz w:val="18"/>
              </w:rPr>
              <w:t> </w:t>
            </w:r>
            <w:r>
              <w:rPr>
                <w:sz w:val="18"/>
              </w:rPr>
              <w:t>básico</w:t>
            </w:r>
            <w:r>
              <w:rPr>
                <w:spacing w:val="-3"/>
                <w:sz w:val="18"/>
              </w:rPr>
              <w:t> </w:t>
            </w:r>
            <w:r>
              <w:rPr>
                <w:sz w:val="18"/>
              </w:rPr>
              <w:t>e</w:t>
            </w:r>
            <w:r>
              <w:rPr>
                <w:spacing w:val="-3"/>
                <w:sz w:val="18"/>
              </w:rPr>
              <w:t> </w:t>
            </w:r>
            <w:r>
              <w:rPr>
                <w:sz w:val="18"/>
              </w:rPr>
              <w:t>diluído</w:t>
            </w:r>
            <w:r>
              <w:rPr>
                <w:spacing w:val="-2"/>
                <w:sz w:val="18"/>
              </w:rPr>
              <w:t> </w:t>
            </w:r>
            <w:r>
              <w:rPr>
                <w:sz w:val="18"/>
              </w:rPr>
              <w:t>por</w:t>
            </w:r>
            <w:r>
              <w:rPr>
                <w:spacing w:val="-4"/>
                <w:sz w:val="18"/>
              </w:rPr>
              <w:t> </w:t>
            </w:r>
            <w:r>
              <w:rPr>
                <w:sz w:val="18"/>
              </w:rPr>
              <w:t>ação</w:t>
            </w:r>
            <w:r>
              <w:rPr>
                <w:spacing w:val="-3"/>
                <w:sz w:val="18"/>
              </w:rPr>
              <w:t> </w:t>
            </w:r>
            <w:r>
              <w:rPr>
                <w:sz w:val="18"/>
              </w:rPr>
              <w:t>(em</w:t>
            </w:r>
            <w:r>
              <w:rPr>
                <w:spacing w:val="-2"/>
                <w:sz w:val="18"/>
              </w:rPr>
              <w:t> </w:t>
            </w:r>
            <w:r>
              <w:rPr>
                <w:spacing w:val="-5"/>
                <w:sz w:val="18"/>
              </w:rPr>
              <w:t>R$)</w:t>
            </w:r>
          </w:p>
        </w:tc>
        <w:tc>
          <w:tcPr>
            <w:tcW w:w="1409" w:type="dxa"/>
          </w:tcPr>
          <w:p>
            <w:pPr>
              <w:pStyle w:val="TableParagraph"/>
              <w:spacing w:before="44"/>
              <w:rPr>
                <w:i/>
                <w:sz w:val="18"/>
              </w:rPr>
            </w:pPr>
          </w:p>
          <w:p>
            <w:pPr>
              <w:pStyle w:val="TableParagraph"/>
              <w:ind w:right="52"/>
              <w:jc w:val="right"/>
              <w:rPr>
                <w:sz w:val="18"/>
              </w:rPr>
            </w:pPr>
            <w:r>
              <w:rPr>
                <w:spacing w:val="-4"/>
                <w:sz w:val="18"/>
              </w:rPr>
              <w:t>12.4</w:t>
            </w:r>
          </w:p>
        </w:tc>
        <w:tc>
          <w:tcPr>
            <w:tcW w:w="1685" w:type="dxa"/>
            <w:tcBorders>
              <w:top w:val="single" w:sz="24" w:space="0" w:color="000000"/>
            </w:tcBorders>
          </w:tcPr>
          <w:p>
            <w:pPr>
              <w:pStyle w:val="TableParagraph"/>
              <w:spacing w:before="239"/>
              <w:ind w:right="408"/>
              <w:jc w:val="right"/>
              <w:rPr>
                <w:sz w:val="20"/>
              </w:rPr>
            </w:pPr>
            <w:r>
              <w:rPr>
                <w:spacing w:val="-2"/>
                <w:sz w:val="20"/>
              </w:rPr>
              <w:t>0,001</w:t>
            </w:r>
          </w:p>
        </w:tc>
        <w:tc>
          <w:tcPr>
            <w:tcW w:w="1048" w:type="dxa"/>
            <w:tcBorders>
              <w:top w:val="single" w:sz="24" w:space="0" w:color="000000"/>
            </w:tcBorders>
          </w:tcPr>
          <w:p>
            <w:pPr>
              <w:pStyle w:val="TableParagraph"/>
              <w:spacing w:before="239"/>
              <w:ind w:right="101"/>
              <w:jc w:val="right"/>
              <w:rPr>
                <w:sz w:val="20"/>
              </w:rPr>
            </w:pPr>
            <w:r>
              <w:rPr>
                <w:spacing w:val="-4"/>
                <w:sz w:val="20"/>
              </w:rPr>
              <w:t>0,03</w:t>
            </w:r>
          </w:p>
        </w:tc>
      </w:tr>
      <w:tr>
        <w:trPr>
          <w:trHeight w:val="282" w:hRule="atLeast"/>
        </w:trPr>
        <w:tc>
          <w:tcPr>
            <w:tcW w:w="6094" w:type="dxa"/>
          </w:tcPr>
          <w:p>
            <w:pPr>
              <w:pStyle w:val="TableParagraph"/>
              <w:spacing w:line="148" w:lineRule="exact" w:before="114"/>
              <w:ind w:left="50"/>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3"/>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tc>
        <w:tc>
          <w:tcPr>
            <w:tcW w:w="1409" w:type="dxa"/>
          </w:tcPr>
          <w:p>
            <w:pPr>
              <w:pStyle w:val="TableParagraph"/>
              <w:rPr>
                <w:rFonts w:ascii="Times New Roman"/>
                <w:sz w:val="18"/>
              </w:rPr>
            </w:pPr>
          </w:p>
        </w:tc>
        <w:tc>
          <w:tcPr>
            <w:tcW w:w="1685" w:type="dxa"/>
          </w:tcPr>
          <w:p>
            <w:pPr>
              <w:pStyle w:val="TableParagraph"/>
              <w:rPr>
                <w:rFonts w:ascii="Times New Roman"/>
                <w:sz w:val="18"/>
              </w:rPr>
            </w:pPr>
          </w:p>
        </w:tc>
        <w:tc>
          <w:tcPr>
            <w:tcW w:w="1048" w:type="dxa"/>
          </w:tcPr>
          <w:p>
            <w:pPr>
              <w:pStyle w:val="TableParagraph"/>
              <w:rPr>
                <w:rFonts w:ascii="Times New Roman"/>
                <w:sz w:val="18"/>
              </w:rPr>
            </w:pPr>
          </w:p>
        </w:tc>
      </w:tr>
    </w:tbl>
    <w:p>
      <w:pPr>
        <w:spacing w:after="0"/>
        <w:rPr>
          <w:rFonts w:ascii="Times New Roman"/>
          <w:sz w:val="18"/>
        </w:rPr>
        <w:sectPr>
          <w:headerReference w:type="default" r:id="rId12"/>
          <w:footerReference w:type="default" r:id="rId13"/>
          <w:pgSz w:w="11910" w:h="16840"/>
          <w:pgMar w:header="637" w:footer="630" w:top="1160" w:bottom="820" w:left="720" w:right="700"/>
          <w:pgNumType w:start="12"/>
        </w:sectPr>
      </w:pPr>
    </w:p>
    <w:p>
      <w:pPr>
        <w:pStyle w:val="Heading4"/>
        <w:spacing w:line="282" w:lineRule="exact"/>
        <w:ind w:left="132"/>
        <w:jc w:val="left"/>
      </w:pPr>
      <w:bookmarkStart w:name="_TOC_250020" w:id="5"/>
      <w:r>
        <w:rPr/>
        <w:t>Demonstração</w:t>
      </w:r>
      <w:r>
        <w:rPr>
          <w:spacing w:val="-6"/>
        </w:rPr>
        <w:t> </w:t>
      </w:r>
      <w:r>
        <w:rPr/>
        <w:t>de</w:t>
      </w:r>
      <w:r>
        <w:rPr>
          <w:spacing w:val="-6"/>
        </w:rPr>
        <w:t> </w:t>
      </w:r>
      <w:r>
        <w:rPr/>
        <w:t>Resultados</w:t>
      </w:r>
      <w:r>
        <w:rPr>
          <w:spacing w:val="-5"/>
        </w:rPr>
        <w:t> </w:t>
      </w:r>
      <w:bookmarkEnd w:id="5"/>
      <w:r>
        <w:rPr>
          <w:spacing w:val="-2"/>
        </w:rPr>
        <w:t>Abrangentes</w:t>
      </w:r>
    </w:p>
    <w:p>
      <w:pPr>
        <w:spacing w:before="3"/>
        <w:ind w:left="132" w:right="0" w:firstLine="0"/>
        <w:jc w:val="left"/>
        <w:rPr>
          <w:i/>
          <w:sz w:val="20"/>
        </w:rPr>
      </w:pPr>
      <w:r>
        <w:rPr/>
        <mc:AlternateContent>
          <mc:Choice Requires="wps">
            <w:drawing>
              <wp:anchor distT="0" distB="0" distL="0" distR="0" allowOverlap="1" layoutInCell="1" locked="0" behindDoc="1" simplePos="0" relativeHeight="487597056">
                <wp:simplePos x="0" y="0"/>
                <wp:positionH relativeFrom="page">
                  <wp:posOffset>522731</wp:posOffset>
                </wp:positionH>
                <wp:positionV relativeFrom="paragraph">
                  <wp:posOffset>170912</wp:posOffset>
                </wp:positionV>
                <wp:extent cx="6517640"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6517640" cy="1270"/>
                        </a:xfrm>
                        <a:custGeom>
                          <a:avLst/>
                          <a:gdLst/>
                          <a:ahLst/>
                          <a:cxnLst/>
                          <a:rect l="l" t="t" r="r" b="b"/>
                          <a:pathLst>
                            <a:path w="6517640" h="0">
                              <a:moveTo>
                                <a:pt x="0" y="0"/>
                              </a:moveTo>
                              <a:lnTo>
                                <a:pt x="6517385"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16pt;margin-top:13.457673pt;width:513.2pt;height:.1pt;mso-position-horizontal-relative:page;mso-position-vertical-relative:paragraph;z-index:-15719424;mso-wrap-distance-left:0;mso-wrap-distance-right:0" id="docshape32" coordorigin="823,269" coordsize="10264,0" path="m823,269l11087,269e" filled="false" stroked="true" strokeweight="1.44pt" strokecolor="#000000">
                <v:path arrowok="t"/>
                <v:stroke dashstyle="solid"/>
                <w10:wrap type="topAndBottom"/>
              </v:shape>
            </w:pict>
          </mc:Fallback>
        </mc:AlternateContent>
      </w:r>
      <w:r>
        <w:rPr>
          <w:i/>
          <w:sz w:val="20"/>
        </w:rPr>
        <w:t>Exercícios</w:t>
      </w:r>
      <w:r>
        <w:rPr>
          <w:i/>
          <w:spacing w:val="-6"/>
          <w:sz w:val="20"/>
        </w:rPr>
        <w:t> </w:t>
      </w:r>
      <w:r>
        <w:rPr>
          <w:i/>
          <w:sz w:val="20"/>
        </w:rPr>
        <w:t>findos</w:t>
      </w:r>
      <w:r>
        <w:rPr>
          <w:i/>
          <w:spacing w:val="-3"/>
          <w:sz w:val="20"/>
        </w:rPr>
        <w:t> </w:t>
      </w:r>
      <w:r>
        <w:rPr>
          <w:i/>
          <w:sz w:val="20"/>
        </w:rPr>
        <w:t>em</w:t>
      </w:r>
      <w:r>
        <w:rPr>
          <w:i/>
          <w:spacing w:val="-4"/>
          <w:sz w:val="20"/>
        </w:rPr>
        <w:t> </w:t>
      </w:r>
      <w:r>
        <w:rPr>
          <w:i/>
          <w:sz w:val="20"/>
        </w:rPr>
        <w:t>31</w:t>
      </w:r>
      <w:r>
        <w:rPr>
          <w:i/>
          <w:spacing w:val="-3"/>
          <w:sz w:val="20"/>
        </w:rPr>
        <w:t> </w:t>
      </w:r>
      <w:r>
        <w:rPr>
          <w:i/>
          <w:sz w:val="20"/>
        </w:rPr>
        <w:t>de</w:t>
      </w:r>
      <w:r>
        <w:rPr>
          <w:i/>
          <w:spacing w:val="-4"/>
          <w:sz w:val="20"/>
        </w:rPr>
        <w:t> </w:t>
      </w:r>
      <w:r>
        <w:rPr>
          <w:i/>
          <w:sz w:val="20"/>
        </w:rPr>
        <w:t>dezembro</w:t>
      </w:r>
      <w:r>
        <w:rPr>
          <w:i/>
          <w:spacing w:val="-4"/>
          <w:sz w:val="20"/>
        </w:rPr>
        <w:t> </w:t>
      </w:r>
      <w:r>
        <w:rPr>
          <w:i/>
          <w:sz w:val="20"/>
        </w:rPr>
        <w:t>(Em</w:t>
      </w:r>
      <w:r>
        <w:rPr>
          <w:i/>
          <w:spacing w:val="-3"/>
          <w:sz w:val="20"/>
        </w:rPr>
        <w:t> </w:t>
      </w:r>
      <w:r>
        <w:rPr>
          <w:i/>
          <w:sz w:val="20"/>
        </w:rPr>
        <w:t>milhares</w:t>
      </w:r>
      <w:r>
        <w:rPr>
          <w:i/>
          <w:spacing w:val="-3"/>
          <w:sz w:val="20"/>
        </w:rPr>
        <w:t> </w:t>
      </w:r>
      <w:r>
        <w:rPr>
          <w:i/>
          <w:sz w:val="20"/>
        </w:rPr>
        <w:t>de</w:t>
      </w:r>
      <w:r>
        <w:rPr>
          <w:i/>
          <w:spacing w:val="-4"/>
          <w:sz w:val="20"/>
        </w:rPr>
        <w:t> </w:t>
      </w:r>
      <w:r>
        <w:rPr>
          <w:i/>
          <w:sz w:val="20"/>
        </w:rPr>
        <w:t>reais,</w:t>
      </w:r>
      <w:r>
        <w:rPr>
          <w:i/>
          <w:spacing w:val="-4"/>
          <w:sz w:val="20"/>
        </w:rPr>
        <w:t> </w:t>
      </w:r>
      <w:r>
        <w:rPr>
          <w:i/>
          <w:sz w:val="20"/>
        </w:rPr>
        <w:t>exceto</w:t>
      </w:r>
      <w:r>
        <w:rPr>
          <w:i/>
          <w:spacing w:val="-4"/>
          <w:sz w:val="20"/>
        </w:rPr>
        <w:t> </w:t>
      </w:r>
      <w:r>
        <w:rPr>
          <w:i/>
          <w:sz w:val="20"/>
        </w:rPr>
        <w:t>quando</w:t>
      </w:r>
      <w:r>
        <w:rPr>
          <w:i/>
          <w:spacing w:val="-3"/>
          <w:sz w:val="20"/>
        </w:rPr>
        <w:t> </w:t>
      </w:r>
      <w:r>
        <w:rPr>
          <w:i/>
          <w:sz w:val="20"/>
        </w:rPr>
        <w:t>indicado</w:t>
      </w:r>
      <w:r>
        <w:rPr>
          <w:i/>
          <w:spacing w:val="-3"/>
          <w:sz w:val="20"/>
        </w:rPr>
        <w:t> </w:t>
      </w:r>
      <w:r>
        <w:rPr>
          <w:i/>
          <w:sz w:val="20"/>
        </w:rPr>
        <w:t>em</w:t>
      </w:r>
      <w:r>
        <w:rPr>
          <w:i/>
          <w:spacing w:val="-3"/>
          <w:sz w:val="20"/>
        </w:rPr>
        <w:t> </w:t>
      </w:r>
      <w:r>
        <w:rPr>
          <w:i/>
          <w:spacing w:val="-2"/>
          <w:sz w:val="20"/>
        </w:rPr>
        <w:t>contrário)</w:t>
      </w:r>
    </w:p>
    <w:p>
      <w:pPr>
        <w:pStyle w:val="BodyText"/>
        <w:spacing w:before="216"/>
        <w:rPr>
          <w:i/>
          <w:sz w:val="20"/>
        </w:rPr>
      </w:pPr>
    </w:p>
    <w:tbl>
      <w:tblPr>
        <w:tblW w:w="0" w:type="auto"/>
        <w:jc w:val="left"/>
        <w:tblInd w:w="1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66"/>
        <w:gridCol w:w="1644"/>
        <w:gridCol w:w="1655"/>
        <w:gridCol w:w="1044"/>
      </w:tblGrid>
      <w:tr>
        <w:trPr>
          <w:trHeight w:val="161" w:hRule="atLeast"/>
        </w:trPr>
        <w:tc>
          <w:tcPr>
            <w:tcW w:w="8965" w:type="dxa"/>
            <w:gridSpan w:val="3"/>
          </w:tcPr>
          <w:p>
            <w:pPr>
              <w:pStyle w:val="TableParagraph"/>
              <w:tabs>
                <w:tab w:pos="8584" w:val="right" w:leader="none"/>
              </w:tabs>
              <w:spacing w:line="141" w:lineRule="exact"/>
              <w:ind w:left="6886"/>
              <w:rPr>
                <w:b/>
                <w:sz w:val="18"/>
              </w:rPr>
            </w:pPr>
            <w:r>
              <w:rPr/>
              <mc:AlternateContent>
                <mc:Choice Requires="wps">
                  <w:drawing>
                    <wp:anchor distT="0" distB="0" distL="0" distR="0" allowOverlap="1" layoutInCell="1" locked="0" behindDoc="1" simplePos="0" relativeHeight="485596672">
                      <wp:simplePos x="0" y="0"/>
                      <wp:positionH relativeFrom="column">
                        <wp:posOffset>4642611</wp:posOffset>
                      </wp:positionH>
                      <wp:positionV relativeFrom="paragraph">
                        <wp:posOffset>97960</wp:posOffset>
                      </wp:positionV>
                      <wp:extent cx="1714500" cy="889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714500" cy="8890"/>
                                <a:chExt cx="1714500" cy="8890"/>
                              </a:xfrm>
                            </wpg:grpSpPr>
                            <wps:wsp>
                              <wps:cNvPr id="46" name="Graphic 46"/>
                              <wps:cNvSpPr/>
                              <wps:spPr>
                                <a:xfrm>
                                  <a:off x="0" y="722"/>
                                  <a:ext cx="1714500" cy="7620"/>
                                </a:xfrm>
                                <a:custGeom>
                                  <a:avLst/>
                                  <a:gdLst/>
                                  <a:ahLst/>
                                  <a:cxnLst/>
                                  <a:rect l="l" t="t" r="r" b="b"/>
                                  <a:pathLst>
                                    <a:path w="1714500" h="7620">
                                      <a:moveTo>
                                        <a:pt x="1049274" y="0"/>
                                      </a:moveTo>
                                      <a:lnTo>
                                        <a:pt x="0" y="0"/>
                                      </a:lnTo>
                                      <a:lnTo>
                                        <a:pt x="0" y="7620"/>
                                      </a:lnTo>
                                      <a:lnTo>
                                        <a:pt x="1049274" y="7620"/>
                                      </a:lnTo>
                                      <a:lnTo>
                                        <a:pt x="1049274" y="0"/>
                                      </a:lnTo>
                                      <a:close/>
                                    </a:path>
                                    <a:path w="1714500" h="7620">
                                      <a:moveTo>
                                        <a:pt x="1714500" y="0"/>
                                      </a:moveTo>
                                      <a:lnTo>
                                        <a:pt x="1482852" y="0"/>
                                      </a:lnTo>
                                      <a:lnTo>
                                        <a:pt x="1482852" y="7620"/>
                                      </a:lnTo>
                                      <a:lnTo>
                                        <a:pt x="1714500" y="7620"/>
                                      </a:lnTo>
                                      <a:lnTo>
                                        <a:pt x="171450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1046081" y="0"/>
                                  <a:ext cx="594360" cy="1270"/>
                                </a:xfrm>
                                <a:custGeom>
                                  <a:avLst/>
                                  <a:gdLst/>
                                  <a:ahLst/>
                                  <a:cxnLst/>
                                  <a:rect l="l" t="t" r="r" b="b"/>
                                  <a:pathLst>
                                    <a:path w="594360" h="0">
                                      <a:moveTo>
                                        <a:pt x="0" y="0"/>
                                      </a:moveTo>
                                      <a:lnTo>
                                        <a:pt x="594028" y="0"/>
                                      </a:lnTo>
                                    </a:path>
                                  </a:pathLst>
                                </a:custGeom>
                                <a:ln w="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5.559998pt;margin-top:7.7134pt;width:135pt;height:.7pt;mso-position-horizontal-relative:column;mso-position-vertical-relative:paragraph;z-index:-17719808" id="docshapegroup33" coordorigin="7311,154" coordsize="2700,14">
                      <v:shape style="position:absolute;left:7311;top:155;width:2700;height:12" id="docshape34" coordorigin="7311,155" coordsize="2700,12" path="m8964,155l7311,155,7311,167,8964,167,8964,155xm10011,155l9646,155,9646,167,10011,167,10011,155xe" filled="true" fillcolor="#000000" stroked="false">
                        <v:path arrowok="t"/>
                        <v:fill type="solid"/>
                      </v:shape>
                      <v:line style="position:absolute" from="8959,154" to="9894,154" stroked="true" strokeweight="0pt" strokecolor="#000000">
                        <v:stroke dashstyle="solid"/>
                      </v:line>
                      <w10:wrap type="none"/>
                    </v:group>
                  </w:pict>
                </mc:Fallback>
              </mc:AlternateContent>
            </w:r>
            <w:r>
              <w:rPr>
                <w:b/>
                <w:spacing w:val="-4"/>
                <w:sz w:val="18"/>
              </w:rPr>
              <w:t>Nota</w:t>
            </w:r>
            <w:r>
              <w:rPr>
                <w:rFonts w:ascii="Times New Roman"/>
                <w:sz w:val="18"/>
              </w:rPr>
              <w:tab/>
            </w:r>
            <w:r>
              <w:rPr>
                <w:b/>
                <w:spacing w:val="-4"/>
                <w:sz w:val="18"/>
              </w:rPr>
              <w:t>2022</w:t>
            </w:r>
          </w:p>
        </w:tc>
        <w:tc>
          <w:tcPr>
            <w:tcW w:w="1044" w:type="dxa"/>
          </w:tcPr>
          <w:p>
            <w:pPr>
              <w:pStyle w:val="TableParagraph"/>
              <w:spacing w:line="141" w:lineRule="exact"/>
              <w:ind w:right="-15"/>
              <w:jc w:val="right"/>
              <w:rPr>
                <w:b/>
                <w:sz w:val="18"/>
              </w:rPr>
            </w:pPr>
            <w:r>
              <w:rPr>
                <w:b/>
                <w:spacing w:val="-4"/>
                <w:sz w:val="18"/>
              </w:rPr>
              <w:t>2021</w:t>
            </w:r>
          </w:p>
        </w:tc>
      </w:tr>
      <w:tr>
        <w:trPr>
          <w:trHeight w:val="681" w:hRule="atLeast"/>
        </w:trPr>
        <w:tc>
          <w:tcPr>
            <w:tcW w:w="5666" w:type="dxa"/>
          </w:tcPr>
          <w:p>
            <w:pPr>
              <w:pStyle w:val="TableParagraph"/>
              <w:spacing w:before="45"/>
              <w:rPr>
                <w:i/>
                <w:sz w:val="18"/>
              </w:rPr>
            </w:pPr>
          </w:p>
          <w:p>
            <w:pPr>
              <w:pStyle w:val="TableParagraph"/>
              <w:ind w:left="50"/>
              <w:rPr>
                <w:sz w:val="18"/>
              </w:rPr>
            </w:pPr>
            <w:r>
              <w:rPr>
                <w:sz w:val="18"/>
              </w:rPr>
              <w:t>Lucro</w:t>
            </w:r>
            <w:r>
              <w:rPr>
                <w:spacing w:val="-6"/>
                <w:sz w:val="18"/>
              </w:rPr>
              <w:t> </w:t>
            </w:r>
            <w:r>
              <w:rPr>
                <w:sz w:val="18"/>
              </w:rPr>
              <w:t>líquido</w:t>
            </w:r>
            <w:r>
              <w:rPr>
                <w:spacing w:val="-3"/>
                <w:sz w:val="18"/>
              </w:rPr>
              <w:t> </w:t>
            </w:r>
            <w:r>
              <w:rPr>
                <w:sz w:val="18"/>
              </w:rPr>
              <w:t>do</w:t>
            </w:r>
            <w:r>
              <w:rPr>
                <w:spacing w:val="-2"/>
                <w:sz w:val="18"/>
              </w:rPr>
              <w:t> exercício</w:t>
            </w:r>
          </w:p>
        </w:tc>
        <w:tc>
          <w:tcPr>
            <w:tcW w:w="1644" w:type="dxa"/>
          </w:tcPr>
          <w:p>
            <w:pPr>
              <w:pStyle w:val="TableParagraph"/>
              <w:rPr>
                <w:rFonts w:ascii="Times New Roman"/>
                <w:sz w:val="18"/>
              </w:rPr>
            </w:pPr>
          </w:p>
        </w:tc>
        <w:tc>
          <w:tcPr>
            <w:tcW w:w="1655" w:type="dxa"/>
          </w:tcPr>
          <w:p>
            <w:pPr>
              <w:pStyle w:val="TableParagraph"/>
              <w:spacing w:before="81"/>
              <w:rPr>
                <w:i/>
                <w:sz w:val="18"/>
              </w:rPr>
            </w:pPr>
          </w:p>
          <w:p>
            <w:pPr>
              <w:pStyle w:val="TableParagraph"/>
              <w:ind w:right="377"/>
              <w:jc w:val="right"/>
              <w:rPr>
                <w:sz w:val="18"/>
              </w:rPr>
            </w:pPr>
            <w:r>
              <w:rPr>
                <w:spacing w:val="-2"/>
                <w:sz w:val="18"/>
              </w:rPr>
              <w:t>1.472</w:t>
            </w:r>
          </w:p>
        </w:tc>
        <w:tc>
          <w:tcPr>
            <w:tcW w:w="1044" w:type="dxa"/>
          </w:tcPr>
          <w:p>
            <w:pPr>
              <w:pStyle w:val="TableParagraph"/>
              <w:spacing w:before="81"/>
              <w:rPr>
                <w:i/>
                <w:sz w:val="18"/>
              </w:rPr>
            </w:pPr>
          </w:p>
          <w:p>
            <w:pPr>
              <w:pStyle w:val="TableParagraph"/>
              <w:ind w:right="52"/>
              <w:jc w:val="right"/>
              <w:rPr>
                <w:sz w:val="18"/>
              </w:rPr>
            </w:pPr>
            <w:r>
              <w:rPr>
                <w:spacing w:val="-2"/>
                <w:sz w:val="18"/>
              </w:rPr>
              <w:t>64.302</w:t>
            </w:r>
          </w:p>
        </w:tc>
      </w:tr>
      <w:tr>
        <w:trPr>
          <w:trHeight w:val="590" w:hRule="atLeast"/>
        </w:trPr>
        <w:tc>
          <w:tcPr>
            <w:tcW w:w="5666" w:type="dxa"/>
          </w:tcPr>
          <w:p>
            <w:pPr>
              <w:pStyle w:val="TableParagraph"/>
              <w:spacing w:before="127"/>
              <w:ind w:left="50"/>
              <w:rPr>
                <w:sz w:val="18"/>
              </w:rPr>
            </w:pPr>
            <w:r>
              <w:rPr>
                <w:sz w:val="18"/>
              </w:rPr>
              <w:t>Itens</w:t>
            </w:r>
            <w:r>
              <w:rPr>
                <w:spacing w:val="-3"/>
                <w:sz w:val="18"/>
              </w:rPr>
              <w:t> </w:t>
            </w:r>
            <w:r>
              <w:rPr>
                <w:sz w:val="18"/>
              </w:rPr>
              <w:t>que</w:t>
            </w:r>
            <w:r>
              <w:rPr>
                <w:spacing w:val="-2"/>
                <w:sz w:val="18"/>
              </w:rPr>
              <w:t> </w:t>
            </w:r>
            <w:r>
              <w:rPr>
                <w:sz w:val="18"/>
              </w:rPr>
              <w:t>não</w:t>
            </w:r>
            <w:r>
              <w:rPr>
                <w:spacing w:val="-3"/>
                <w:sz w:val="18"/>
              </w:rPr>
              <w:t> </w:t>
            </w:r>
            <w:r>
              <w:rPr>
                <w:sz w:val="18"/>
              </w:rPr>
              <w:t>serão</w:t>
            </w:r>
            <w:r>
              <w:rPr>
                <w:spacing w:val="-3"/>
                <w:sz w:val="18"/>
              </w:rPr>
              <w:t> </w:t>
            </w:r>
            <w:r>
              <w:rPr>
                <w:sz w:val="18"/>
              </w:rPr>
              <w:t>reclassificados</w:t>
            </w:r>
            <w:r>
              <w:rPr>
                <w:spacing w:val="-2"/>
                <w:sz w:val="18"/>
              </w:rPr>
              <w:t> </w:t>
            </w:r>
            <w:r>
              <w:rPr>
                <w:sz w:val="18"/>
              </w:rPr>
              <w:t>para</w:t>
            </w:r>
            <w:r>
              <w:rPr>
                <w:spacing w:val="-2"/>
                <w:sz w:val="18"/>
              </w:rPr>
              <w:t> </w:t>
            </w:r>
            <w:r>
              <w:rPr>
                <w:sz w:val="18"/>
              </w:rPr>
              <w:t>o</w:t>
            </w:r>
            <w:r>
              <w:rPr>
                <w:spacing w:val="-2"/>
                <w:sz w:val="18"/>
              </w:rPr>
              <w:t> resultado:</w:t>
            </w:r>
          </w:p>
          <w:p>
            <w:pPr>
              <w:pStyle w:val="TableParagraph"/>
              <w:spacing w:line="189" w:lineRule="exact" w:before="35"/>
              <w:ind w:left="50"/>
              <w:rPr>
                <w:sz w:val="18"/>
              </w:rPr>
            </w:pPr>
            <w:r>
              <w:rPr>
                <w:sz w:val="18"/>
              </w:rPr>
              <w:t>Ganhos</w:t>
            </w:r>
            <w:r>
              <w:rPr>
                <w:spacing w:val="-5"/>
                <w:sz w:val="18"/>
              </w:rPr>
              <w:t> </w:t>
            </w:r>
            <w:r>
              <w:rPr>
                <w:sz w:val="18"/>
              </w:rPr>
              <w:t>(Perdas)</w:t>
            </w:r>
            <w:r>
              <w:rPr>
                <w:spacing w:val="-3"/>
                <w:sz w:val="18"/>
              </w:rPr>
              <w:t> </w:t>
            </w:r>
            <w:r>
              <w:rPr>
                <w:sz w:val="18"/>
              </w:rPr>
              <w:t>atuariais</w:t>
            </w:r>
            <w:r>
              <w:rPr>
                <w:spacing w:val="-2"/>
                <w:sz w:val="18"/>
              </w:rPr>
              <w:t> </w:t>
            </w:r>
            <w:r>
              <w:rPr>
                <w:sz w:val="18"/>
              </w:rPr>
              <w:t>com</w:t>
            </w:r>
            <w:r>
              <w:rPr>
                <w:spacing w:val="-2"/>
                <w:sz w:val="18"/>
              </w:rPr>
              <w:t> </w:t>
            </w:r>
            <w:r>
              <w:rPr>
                <w:sz w:val="18"/>
              </w:rPr>
              <w:t>planos</w:t>
            </w:r>
            <w:r>
              <w:rPr>
                <w:spacing w:val="-2"/>
                <w:sz w:val="18"/>
              </w:rPr>
              <w:t> </w:t>
            </w:r>
            <w:r>
              <w:rPr>
                <w:sz w:val="18"/>
              </w:rPr>
              <w:t>de</w:t>
            </w:r>
            <w:r>
              <w:rPr>
                <w:spacing w:val="-3"/>
                <w:sz w:val="18"/>
              </w:rPr>
              <w:t> </w:t>
            </w:r>
            <w:r>
              <w:rPr>
                <w:sz w:val="18"/>
              </w:rPr>
              <w:t>benefícios</w:t>
            </w:r>
            <w:r>
              <w:rPr>
                <w:spacing w:val="-2"/>
                <w:sz w:val="18"/>
              </w:rPr>
              <w:t> definidos</w:t>
            </w:r>
          </w:p>
        </w:tc>
        <w:tc>
          <w:tcPr>
            <w:tcW w:w="1644" w:type="dxa"/>
          </w:tcPr>
          <w:p>
            <w:pPr>
              <w:pStyle w:val="TableParagraph"/>
              <w:spacing w:before="162"/>
              <w:rPr>
                <w:i/>
                <w:sz w:val="18"/>
              </w:rPr>
            </w:pPr>
          </w:p>
          <w:p>
            <w:pPr>
              <w:pStyle w:val="TableParagraph"/>
              <w:spacing w:line="189" w:lineRule="exact"/>
              <w:ind w:right="184"/>
              <w:jc w:val="right"/>
              <w:rPr>
                <w:sz w:val="18"/>
              </w:rPr>
            </w:pPr>
            <w:r>
              <w:rPr>
                <w:spacing w:val="-4"/>
                <w:sz w:val="18"/>
              </w:rPr>
              <w:t>12.2</w:t>
            </w:r>
          </w:p>
        </w:tc>
        <w:tc>
          <w:tcPr>
            <w:tcW w:w="1655" w:type="dxa"/>
            <w:tcBorders>
              <w:bottom w:val="single" w:sz="4" w:space="0" w:color="000000"/>
            </w:tcBorders>
          </w:tcPr>
          <w:p>
            <w:pPr>
              <w:pStyle w:val="TableParagraph"/>
              <w:spacing w:before="162"/>
              <w:rPr>
                <w:i/>
                <w:sz w:val="18"/>
              </w:rPr>
            </w:pPr>
          </w:p>
          <w:p>
            <w:pPr>
              <w:pStyle w:val="TableParagraph"/>
              <w:spacing w:line="168" w:lineRule="exact"/>
              <w:ind w:right="376"/>
              <w:jc w:val="right"/>
              <w:rPr>
                <w:sz w:val="18"/>
              </w:rPr>
            </w:pPr>
            <w:r>
              <w:rPr>
                <w:spacing w:val="-10"/>
                <w:sz w:val="18"/>
              </w:rPr>
              <w:t>‐</w:t>
            </w:r>
          </w:p>
        </w:tc>
        <w:tc>
          <w:tcPr>
            <w:tcW w:w="1044" w:type="dxa"/>
            <w:tcBorders>
              <w:bottom w:val="single" w:sz="6" w:space="0" w:color="000000"/>
            </w:tcBorders>
          </w:tcPr>
          <w:p>
            <w:pPr>
              <w:pStyle w:val="TableParagraph"/>
              <w:spacing w:before="162"/>
              <w:rPr>
                <w:i/>
                <w:sz w:val="18"/>
              </w:rPr>
            </w:pPr>
          </w:p>
          <w:p>
            <w:pPr>
              <w:pStyle w:val="TableParagraph"/>
              <w:spacing w:line="168" w:lineRule="exact"/>
              <w:ind w:right="-15"/>
              <w:jc w:val="right"/>
              <w:rPr>
                <w:sz w:val="18"/>
              </w:rPr>
            </w:pPr>
            <w:r>
              <w:rPr>
                <w:spacing w:val="-2"/>
                <w:sz w:val="18"/>
              </w:rPr>
              <w:t>(27.416)</w:t>
            </w:r>
          </w:p>
        </w:tc>
      </w:tr>
      <w:tr>
        <w:trPr>
          <w:trHeight w:val="261" w:hRule="atLeast"/>
        </w:trPr>
        <w:tc>
          <w:tcPr>
            <w:tcW w:w="5666" w:type="dxa"/>
          </w:tcPr>
          <w:p>
            <w:pPr>
              <w:pStyle w:val="TableParagraph"/>
              <w:spacing w:line="211" w:lineRule="exact" w:before="30"/>
              <w:ind w:left="50"/>
              <w:rPr>
                <w:sz w:val="18"/>
              </w:rPr>
            </w:pPr>
            <w:r>
              <w:rPr>
                <w:sz w:val="18"/>
              </w:rPr>
              <w:t>Outros</w:t>
            </w:r>
            <w:r>
              <w:rPr>
                <w:spacing w:val="-5"/>
                <w:sz w:val="18"/>
              </w:rPr>
              <w:t> </w:t>
            </w:r>
            <w:r>
              <w:rPr>
                <w:sz w:val="18"/>
              </w:rPr>
              <w:t>resultados</w:t>
            </w:r>
            <w:r>
              <w:rPr>
                <w:spacing w:val="-5"/>
                <w:sz w:val="18"/>
              </w:rPr>
              <w:t> </w:t>
            </w:r>
            <w:r>
              <w:rPr>
                <w:sz w:val="18"/>
              </w:rPr>
              <w:t>abrangentes</w:t>
            </w:r>
            <w:r>
              <w:rPr>
                <w:spacing w:val="-5"/>
                <w:sz w:val="18"/>
              </w:rPr>
              <w:t> </w:t>
            </w:r>
            <w:r>
              <w:rPr>
                <w:spacing w:val="-2"/>
                <w:sz w:val="18"/>
              </w:rPr>
              <w:t>total</w:t>
            </w:r>
          </w:p>
        </w:tc>
        <w:tc>
          <w:tcPr>
            <w:tcW w:w="1644" w:type="dxa"/>
          </w:tcPr>
          <w:p>
            <w:pPr>
              <w:pStyle w:val="TableParagraph"/>
              <w:rPr>
                <w:rFonts w:ascii="Times New Roman"/>
                <w:sz w:val="18"/>
              </w:rPr>
            </w:pPr>
          </w:p>
        </w:tc>
        <w:tc>
          <w:tcPr>
            <w:tcW w:w="1655" w:type="dxa"/>
            <w:tcBorders>
              <w:top w:val="single" w:sz="4" w:space="0" w:color="000000"/>
              <w:bottom w:val="single" w:sz="24" w:space="0" w:color="000000"/>
            </w:tcBorders>
          </w:tcPr>
          <w:p>
            <w:pPr>
              <w:pStyle w:val="TableParagraph"/>
              <w:spacing w:line="211" w:lineRule="exact" w:before="51"/>
              <w:ind w:right="373"/>
              <w:jc w:val="right"/>
              <w:rPr>
                <w:sz w:val="18"/>
              </w:rPr>
            </w:pPr>
            <w:r>
              <w:rPr>
                <w:spacing w:val="-10"/>
                <w:sz w:val="18"/>
              </w:rPr>
              <w:t>‐</w:t>
            </w:r>
          </w:p>
        </w:tc>
        <w:tc>
          <w:tcPr>
            <w:tcW w:w="1044" w:type="dxa"/>
            <w:tcBorders>
              <w:top w:val="single" w:sz="6" w:space="0" w:color="000000"/>
              <w:bottom w:val="single" w:sz="24" w:space="0" w:color="000000"/>
            </w:tcBorders>
          </w:tcPr>
          <w:p>
            <w:pPr>
              <w:pStyle w:val="TableParagraph"/>
              <w:spacing w:line="211" w:lineRule="exact" w:before="51"/>
              <w:ind w:right="50"/>
              <w:jc w:val="right"/>
              <w:rPr>
                <w:sz w:val="18"/>
              </w:rPr>
            </w:pPr>
            <w:r>
              <w:rPr>
                <w:spacing w:val="-2"/>
                <w:sz w:val="18"/>
              </w:rPr>
              <w:t>(27.416)</w:t>
            </w:r>
          </w:p>
        </w:tc>
      </w:tr>
      <w:tr>
        <w:trPr>
          <w:trHeight w:val="210" w:hRule="atLeast"/>
        </w:trPr>
        <w:tc>
          <w:tcPr>
            <w:tcW w:w="5666" w:type="dxa"/>
          </w:tcPr>
          <w:p>
            <w:pPr>
              <w:pStyle w:val="TableParagraph"/>
              <w:rPr>
                <w:rFonts w:ascii="Times New Roman"/>
                <w:sz w:val="14"/>
              </w:rPr>
            </w:pPr>
          </w:p>
        </w:tc>
        <w:tc>
          <w:tcPr>
            <w:tcW w:w="1644" w:type="dxa"/>
          </w:tcPr>
          <w:p>
            <w:pPr>
              <w:pStyle w:val="TableParagraph"/>
              <w:rPr>
                <w:rFonts w:ascii="Times New Roman"/>
                <w:sz w:val="14"/>
              </w:rPr>
            </w:pPr>
          </w:p>
        </w:tc>
        <w:tc>
          <w:tcPr>
            <w:tcW w:w="1655" w:type="dxa"/>
            <w:tcBorders>
              <w:top w:val="single" w:sz="24" w:space="0" w:color="000000"/>
              <w:bottom w:val="single" w:sz="4" w:space="0" w:color="000000"/>
            </w:tcBorders>
          </w:tcPr>
          <w:p>
            <w:pPr>
              <w:pStyle w:val="TableParagraph"/>
              <w:rPr>
                <w:rFonts w:ascii="Times New Roman"/>
                <w:sz w:val="14"/>
              </w:rPr>
            </w:pPr>
          </w:p>
        </w:tc>
        <w:tc>
          <w:tcPr>
            <w:tcW w:w="1044" w:type="dxa"/>
            <w:tcBorders>
              <w:top w:val="single" w:sz="24" w:space="0" w:color="000000"/>
              <w:bottom w:val="single" w:sz="4" w:space="0" w:color="000000"/>
            </w:tcBorders>
          </w:tcPr>
          <w:p>
            <w:pPr>
              <w:pStyle w:val="TableParagraph"/>
              <w:rPr>
                <w:rFonts w:ascii="Times New Roman"/>
                <w:sz w:val="14"/>
              </w:rPr>
            </w:pPr>
          </w:p>
        </w:tc>
      </w:tr>
      <w:tr>
        <w:trPr>
          <w:trHeight w:val="257" w:hRule="atLeast"/>
        </w:trPr>
        <w:tc>
          <w:tcPr>
            <w:tcW w:w="5666" w:type="dxa"/>
          </w:tcPr>
          <w:p>
            <w:pPr>
              <w:pStyle w:val="TableParagraph"/>
              <w:spacing w:line="210" w:lineRule="exact" w:before="27"/>
              <w:ind w:left="50"/>
              <w:rPr>
                <w:sz w:val="18"/>
              </w:rPr>
            </w:pPr>
            <w:r>
              <w:rPr>
                <w:sz w:val="18"/>
              </w:rPr>
              <w:t>Resultado</w:t>
            </w:r>
            <w:r>
              <w:rPr>
                <w:spacing w:val="-8"/>
                <w:sz w:val="18"/>
              </w:rPr>
              <w:t> </w:t>
            </w:r>
            <w:r>
              <w:rPr>
                <w:sz w:val="18"/>
              </w:rPr>
              <w:t>abrangente</w:t>
            </w:r>
            <w:r>
              <w:rPr>
                <w:spacing w:val="-5"/>
                <w:sz w:val="18"/>
              </w:rPr>
              <w:t> </w:t>
            </w:r>
            <w:r>
              <w:rPr>
                <w:spacing w:val="-2"/>
                <w:sz w:val="18"/>
              </w:rPr>
              <w:t>total</w:t>
            </w:r>
          </w:p>
        </w:tc>
        <w:tc>
          <w:tcPr>
            <w:tcW w:w="1644" w:type="dxa"/>
          </w:tcPr>
          <w:p>
            <w:pPr>
              <w:pStyle w:val="TableParagraph"/>
              <w:rPr>
                <w:rFonts w:ascii="Times New Roman"/>
                <w:sz w:val="18"/>
              </w:rPr>
            </w:pPr>
          </w:p>
        </w:tc>
        <w:tc>
          <w:tcPr>
            <w:tcW w:w="1655" w:type="dxa"/>
            <w:tcBorders>
              <w:top w:val="single" w:sz="4" w:space="0" w:color="000000"/>
              <w:bottom w:val="single" w:sz="24" w:space="0" w:color="000000"/>
            </w:tcBorders>
          </w:tcPr>
          <w:p>
            <w:pPr>
              <w:pStyle w:val="TableParagraph"/>
              <w:spacing w:line="210" w:lineRule="exact" w:before="27"/>
              <w:ind w:right="377"/>
              <w:jc w:val="right"/>
              <w:rPr>
                <w:sz w:val="18"/>
              </w:rPr>
            </w:pPr>
            <w:r>
              <w:rPr>
                <w:spacing w:val="-2"/>
                <w:sz w:val="18"/>
              </w:rPr>
              <w:t>1.472</w:t>
            </w:r>
          </w:p>
        </w:tc>
        <w:tc>
          <w:tcPr>
            <w:tcW w:w="1044" w:type="dxa"/>
            <w:tcBorders>
              <w:top w:val="single" w:sz="4" w:space="0" w:color="000000"/>
              <w:bottom w:val="single" w:sz="24" w:space="0" w:color="000000"/>
            </w:tcBorders>
          </w:tcPr>
          <w:p>
            <w:pPr>
              <w:pStyle w:val="TableParagraph"/>
              <w:spacing w:line="210" w:lineRule="exact" w:before="27"/>
              <w:ind w:right="52"/>
              <w:jc w:val="right"/>
              <w:rPr>
                <w:sz w:val="18"/>
              </w:rPr>
            </w:pPr>
            <w:r>
              <w:rPr>
                <w:spacing w:val="-2"/>
                <w:sz w:val="18"/>
              </w:rPr>
              <w:t>36.886</w:t>
            </w:r>
          </w:p>
        </w:tc>
      </w:tr>
      <w:tr>
        <w:trPr>
          <w:trHeight w:val="621" w:hRule="atLeast"/>
        </w:trPr>
        <w:tc>
          <w:tcPr>
            <w:tcW w:w="5666" w:type="dxa"/>
          </w:tcPr>
          <w:p>
            <w:pPr>
              <w:pStyle w:val="TableParagraph"/>
              <w:rPr>
                <w:i/>
                <w:sz w:val="14"/>
              </w:rPr>
            </w:pPr>
          </w:p>
          <w:p>
            <w:pPr>
              <w:pStyle w:val="TableParagraph"/>
              <w:spacing w:before="111"/>
              <w:rPr>
                <w:i/>
                <w:sz w:val="14"/>
              </w:rPr>
            </w:pPr>
          </w:p>
          <w:p>
            <w:pPr>
              <w:pStyle w:val="TableParagraph"/>
              <w:spacing w:line="148" w:lineRule="exact"/>
              <w:ind w:left="50"/>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3"/>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tc>
        <w:tc>
          <w:tcPr>
            <w:tcW w:w="1644" w:type="dxa"/>
          </w:tcPr>
          <w:p>
            <w:pPr>
              <w:pStyle w:val="TableParagraph"/>
              <w:rPr>
                <w:rFonts w:ascii="Times New Roman"/>
                <w:sz w:val="18"/>
              </w:rPr>
            </w:pPr>
          </w:p>
        </w:tc>
        <w:tc>
          <w:tcPr>
            <w:tcW w:w="1655" w:type="dxa"/>
            <w:tcBorders>
              <w:top w:val="single" w:sz="24" w:space="0" w:color="000000"/>
            </w:tcBorders>
          </w:tcPr>
          <w:p>
            <w:pPr>
              <w:pStyle w:val="TableParagraph"/>
              <w:rPr>
                <w:rFonts w:ascii="Times New Roman"/>
                <w:sz w:val="18"/>
              </w:rPr>
            </w:pPr>
          </w:p>
        </w:tc>
        <w:tc>
          <w:tcPr>
            <w:tcW w:w="1044" w:type="dxa"/>
            <w:tcBorders>
              <w:top w:val="single" w:sz="24" w:space="0" w:color="000000"/>
            </w:tcBorders>
          </w:tcPr>
          <w:p>
            <w:pPr>
              <w:pStyle w:val="TableParagraph"/>
              <w:rPr>
                <w:rFonts w:ascii="Times New Roman"/>
                <w:sz w:val="18"/>
              </w:rPr>
            </w:pPr>
          </w:p>
        </w:tc>
      </w:tr>
    </w:tbl>
    <w:p>
      <w:pPr>
        <w:spacing w:after="0"/>
        <w:rPr>
          <w:rFonts w:ascii="Times New Roman"/>
          <w:sz w:val="18"/>
        </w:rPr>
        <w:sectPr>
          <w:pgSz w:w="11910" w:h="16840"/>
          <w:pgMar w:header="637" w:footer="630" w:top="1160" w:bottom="820" w:left="720" w:right="700"/>
        </w:sectPr>
      </w:pPr>
    </w:p>
    <w:p>
      <w:pPr>
        <w:pStyle w:val="Heading4"/>
        <w:spacing w:line="282" w:lineRule="exact"/>
        <w:ind w:left="132"/>
        <w:jc w:val="left"/>
      </w:pPr>
      <w:bookmarkStart w:name="_TOC_250019" w:id="6"/>
      <w:r>
        <w:rPr/>
        <w:t>Demonstração</w:t>
      </w:r>
      <w:r>
        <w:rPr>
          <w:spacing w:val="-4"/>
        </w:rPr>
        <w:t> </w:t>
      </w:r>
      <w:r>
        <w:rPr/>
        <w:t>dos</w:t>
      </w:r>
      <w:r>
        <w:rPr>
          <w:spacing w:val="-5"/>
        </w:rPr>
        <w:t> </w:t>
      </w:r>
      <w:r>
        <w:rPr/>
        <w:t>Fluxos</w:t>
      </w:r>
      <w:r>
        <w:rPr>
          <w:spacing w:val="-4"/>
        </w:rPr>
        <w:t> </w:t>
      </w:r>
      <w:r>
        <w:rPr/>
        <w:t>de</w:t>
      </w:r>
      <w:r>
        <w:rPr>
          <w:spacing w:val="-4"/>
        </w:rPr>
        <w:t> </w:t>
      </w:r>
      <w:bookmarkEnd w:id="6"/>
      <w:r>
        <w:rPr>
          <w:spacing w:val="-2"/>
        </w:rPr>
        <w:t>Caixa</w:t>
      </w:r>
    </w:p>
    <w:p>
      <w:pPr>
        <w:spacing w:before="3"/>
        <w:ind w:left="132" w:right="0" w:firstLine="0"/>
        <w:jc w:val="left"/>
        <w:rPr>
          <w:i/>
          <w:sz w:val="20"/>
        </w:rPr>
      </w:pPr>
      <w:r>
        <w:rPr/>
        <mc:AlternateContent>
          <mc:Choice Requires="wps">
            <w:drawing>
              <wp:anchor distT="0" distB="0" distL="0" distR="0" allowOverlap="1" layoutInCell="1" locked="0" behindDoc="1" simplePos="0" relativeHeight="487598080">
                <wp:simplePos x="0" y="0"/>
                <wp:positionH relativeFrom="page">
                  <wp:posOffset>522731</wp:posOffset>
                </wp:positionH>
                <wp:positionV relativeFrom="paragraph">
                  <wp:posOffset>170912</wp:posOffset>
                </wp:positionV>
                <wp:extent cx="651764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517640" cy="1270"/>
                        </a:xfrm>
                        <a:custGeom>
                          <a:avLst/>
                          <a:gdLst/>
                          <a:ahLst/>
                          <a:cxnLst/>
                          <a:rect l="l" t="t" r="r" b="b"/>
                          <a:pathLst>
                            <a:path w="6517640" h="0">
                              <a:moveTo>
                                <a:pt x="0" y="0"/>
                              </a:moveTo>
                              <a:lnTo>
                                <a:pt x="6517385"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16pt;margin-top:13.457673pt;width:513.2pt;height:.1pt;mso-position-horizontal-relative:page;mso-position-vertical-relative:paragraph;z-index:-15718400;mso-wrap-distance-left:0;mso-wrap-distance-right:0" id="docshape35" coordorigin="823,269" coordsize="10264,0" path="m823,269l11087,269e" filled="false" stroked="true" strokeweight="1.44pt" strokecolor="#000000">
                <v:path arrowok="t"/>
                <v:stroke dashstyle="solid"/>
                <w10:wrap type="topAndBottom"/>
              </v:shape>
            </w:pict>
          </mc:Fallback>
        </mc:AlternateContent>
      </w:r>
      <w:r>
        <w:rPr>
          <w:i/>
          <w:sz w:val="20"/>
        </w:rPr>
        <w:t>Exercícios</w:t>
      </w:r>
      <w:r>
        <w:rPr>
          <w:i/>
          <w:spacing w:val="-6"/>
          <w:sz w:val="20"/>
        </w:rPr>
        <w:t> </w:t>
      </w:r>
      <w:r>
        <w:rPr>
          <w:i/>
          <w:sz w:val="20"/>
        </w:rPr>
        <w:t>findos</w:t>
      </w:r>
      <w:r>
        <w:rPr>
          <w:i/>
          <w:spacing w:val="-3"/>
          <w:sz w:val="20"/>
        </w:rPr>
        <w:t> </w:t>
      </w:r>
      <w:r>
        <w:rPr>
          <w:i/>
          <w:sz w:val="20"/>
        </w:rPr>
        <w:t>em</w:t>
      </w:r>
      <w:r>
        <w:rPr>
          <w:i/>
          <w:spacing w:val="-4"/>
          <w:sz w:val="20"/>
        </w:rPr>
        <w:t> </w:t>
      </w:r>
      <w:r>
        <w:rPr>
          <w:i/>
          <w:sz w:val="20"/>
        </w:rPr>
        <w:t>31</w:t>
      </w:r>
      <w:r>
        <w:rPr>
          <w:i/>
          <w:spacing w:val="-3"/>
          <w:sz w:val="20"/>
        </w:rPr>
        <w:t> </w:t>
      </w:r>
      <w:r>
        <w:rPr>
          <w:i/>
          <w:sz w:val="20"/>
        </w:rPr>
        <w:t>de</w:t>
      </w:r>
      <w:r>
        <w:rPr>
          <w:i/>
          <w:spacing w:val="-4"/>
          <w:sz w:val="20"/>
        </w:rPr>
        <w:t> </w:t>
      </w:r>
      <w:r>
        <w:rPr>
          <w:i/>
          <w:sz w:val="20"/>
        </w:rPr>
        <w:t>dezembro</w:t>
      </w:r>
      <w:r>
        <w:rPr>
          <w:i/>
          <w:spacing w:val="-4"/>
          <w:sz w:val="20"/>
        </w:rPr>
        <w:t> </w:t>
      </w:r>
      <w:r>
        <w:rPr>
          <w:i/>
          <w:sz w:val="20"/>
        </w:rPr>
        <w:t>(Em</w:t>
      </w:r>
      <w:r>
        <w:rPr>
          <w:i/>
          <w:spacing w:val="-3"/>
          <w:sz w:val="20"/>
        </w:rPr>
        <w:t> </w:t>
      </w:r>
      <w:r>
        <w:rPr>
          <w:i/>
          <w:sz w:val="20"/>
        </w:rPr>
        <w:t>milhares</w:t>
      </w:r>
      <w:r>
        <w:rPr>
          <w:i/>
          <w:spacing w:val="-3"/>
          <w:sz w:val="20"/>
        </w:rPr>
        <w:t> </w:t>
      </w:r>
      <w:r>
        <w:rPr>
          <w:i/>
          <w:sz w:val="20"/>
        </w:rPr>
        <w:t>de</w:t>
      </w:r>
      <w:r>
        <w:rPr>
          <w:i/>
          <w:spacing w:val="-4"/>
          <w:sz w:val="20"/>
        </w:rPr>
        <w:t> </w:t>
      </w:r>
      <w:r>
        <w:rPr>
          <w:i/>
          <w:sz w:val="20"/>
        </w:rPr>
        <w:t>reais,</w:t>
      </w:r>
      <w:r>
        <w:rPr>
          <w:i/>
          <w:spacing w:val="-4"/>
          <w:sz w:val="20"/>
        </w:rPr>
        <w:t> </w:t>
      </w:r>
      <w:r>
        <w:rPr>
          <w:i/>
          <w:sz w:val="20"/>
        </w:rPr>
        <w:t>exceto</w:t>
      </w:r>
      <w:r>
        <w:rPr>
          <w:i/>
          <w:spacing w:val="-4"/>
          <w:sz w:val="20"/>
        </w:rPr>
        <w:t> </w:t>
      </w:r>
      <w:r>
        <w:rPr>
          <w:i/>
          <w:sz w:val="20"/>
        </w:rPr>
        <w:t>quando</w:t>
      </w:r>
      <w:r>
        <w:rPr>
          <w:i/>
          <w:spacing w:val="-3"/>
          <w:sz w:val="20"/>
        </w:rPr>
        <w:t> </w:t>
      </w:r>
      <w:r>
        <w:rPr>
          <w:i/>
          <w:sz w:val="20"/>
        </w:rPr>
        <w:t>indicado</w:t>
      </w:r>
      <w:r>
        <w:rPr>
          <w:i/>
          <w:spacing w:val="-3"/>
          <w:sz w:val="20"/>
        </w:rPr>
        <w:t> </w:t>
      </w:r>
      <w:r>
        <w:rPr>
          <w:i/>
          <w:sz w:val="20"/>
        </w:rPr>
        <w:t>em</w:t>
      </w:r>
      <w:r>
        <w:rPr>
          <w:i/>
          <w:spacing w:val="-3"/>
          <w:sz w:val="20"/>
        </w:rPr>
        <w:t> </w:t>
      </w:r>
      <w:r>
        <w:rPr>
          <w:i/>
          <w:spacing w:val="-2"/>
          <w:sz w:val="20"/>
        </w:rPr>
        <w:t>contrário)</w:t>
      </w:r>
    </w:p>
    <w:p>
      <w:pPr>
        <w:pStyle w:val="BodyText"/>
        <w:rPr>
          <w:i/>
          <w:sz w:val="20"/>
        </w:rPr>
      </w:pPr>
    </w:p>
    <w:p>
      <w:pPr>
        <w:pStyle w:val="BodyText"/>
        <w:spacing w:before="170"/>
        <w:rPr>
          <w:i/>
          <w:sz w:val="20"/>
        </w:rPr>
      </w:pPr>
    </w:p>
    <w:p>
      <w:pPr>
        <w:tabs>
          <w:tab w:pos="602" w:val="left" w:leader="none"/>
          <w:tab w:pos="1238" w:val="left" w:leader="none"/>
          <w:tab w:pos="2359" w:val="left" w:leader="none"/>
        </w:tabs>
        <w:spacing w:before="0"/>
        <w:ind w:left="0" w:right="224" w:firstLine="0"/>
        <w:jc w:val="right"/>
        <w:rPr>
          <w:b/>
          <w:sz w:val="18"/>
        </w:rPr>
      </w:pPr>
      <w:r>
        <w:rPr>
          <w:b/>
          <w:spacing w:val="-4"/>
          <w:sz w:val="18"/>
        </w:rPr>
        <w:t>Nota</w:t>
      </w:r>
      <w:r>
        <w:rPr>
          <w:b/>
          <w:sz w:val="18"/>
        </w:rPr>
        <w:tab/>
      </w:r>
      <w:r>
        <w:rPr>
          <w:rFonts w:ascii="Times New Roman"/>
          <w:sz w:val="18"/>
          <w:u w:val="thick"/>
        </w:rPr>
        <w:tab/>
      </w:r>
      <w:r>
        <w:rPr>
          <w:b/>
          <w:spacing w:val="-4"/>
          <w:sz w:val="18"/>
          <w:u w:val="thick"/>
        </w:rPr>
        <w:t>2022</w:t>
      </w:r>
      <w:r>
        <w:rPr>
          <w:b/>
          <w:sz w:val="18"/>
          <w:u w:val="thick"/>
        </w:rPr>
        <w:tab/>
      </w:r>
      <w:r>
        <w:rPr>
          <w:b/>
          <w:spacing w:val="-4"/>
          <w:sz w:val="18"/>
          <w:u w:val="thick"/>
        </w:rPr>
        <w:t>2021</w:t>
      </w:r>
    </w:p>
    <w:p>
      <w:pPr>
        <w:pStyle w:val="BodyText"/>
        <w:spacing w:before="101"/>
        <w:rPr>
          <w:b/>
          <w:sz w:val="20"/>
        </w:rPr>
      </w:pPr>
    </w:p>
    <w:tbl>
      <w:tblPr>
        <w:tblW w:w="0" w:type="auto"/>
        <w:jc w:val="lef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31"/>
        <w:gridCol w:w="1761"/>
        <w:gridCol w:w="1203"/>
        <w:gridCol w:w="1039"/>
      </w:tblGrid>
      <w:tr>
        <w:trPr>
          <w:trHeight w:val="224" w:hRule="atLeast"/>
        </w:trPr>
        <w:tc>
          <w:tcPr>
            <w:tcW w:w="6131" w:type="dxa"/>
          </w:tcPr>
          <w:p>
            <w:pPr>
              <w:pStyle w:val="TableParagraph"/>
              <w:spacing w:line="183" w:lineRule="exact"/>
              <w:ind w:left="50"/>
              <w:rPr>
                <w:b/>
                <w:sz w:val="18"/>
              </w:rPr>
            </w:pPr>
            <w:r>
              <w:rPr>
                <w:b/>
                <w:sz w:val="18"/>
              </w:rPr>
              <w:t>Fluxos</w:t>
            </w:r>
            <w:r>
              <w:rPr>
                <w:b/>
                <w:spacing w:val="-3"/>
                <w:sz w:val="18"/>
              </w:rPr>
              <w:t> </w:t>
            </w:r>
            <w:r>
              <w:rPr>
                <w:b/>
                <w:sz w:val="18"/>
              </w:rPr>
              <w:t>de</w:t>
            </w:r>
            <w:r>
              <w:rPr>
                <w:b/>
                <w:spacing w:val="-1"/>
                <w:sz w:val="18"/>
              </w:rPr>
              <w:t> </w:t>
            </w:r>
            <w:r>
              <w:rPr>
                <w:b/>
                <w:sz w:val="18"/>
              </w:rPr>
              <w:t>caixa</w:t>
            </w:r>
            <w:r>
              <w:rPr>
                <w:b/>
                <w:spacing w:val="-3"/>
                <w:sz w:val="18"/>
              </w:rPr>
              <w:t> </w:t>
            </w:r>
            <w:r>
              <w:rPr>
                <w:b/>
                <w:sz w:val="18"/>
              </w:rPr>
              <w:t>das</w:t>
            </w:r>
            <w:r>
              <w:rPr>
                <w:b/>
                <w:spacing w:val="-1"/>
                <w:sz w:val="18"/>
              </w:rPr>
              <w:t> </w:t>
            </w:r>
            <w:r>
              <w:rPr>
                <w:b/>
                <w:sz w:val="18"/>
              </w:rPr>
              <w:t>atividades</w:t>
            </w:r>
            <w:r>
              <w:rPr>
                <w:b/>
                <w:spacing w:val="-1"/>
                <w:sz w:val="18"/>
              </w:rPr>
              <w:t> </w:t>
            </w:r>
            <w:r>
              <w:rPr>
                <w:b/>
                <w:spacing w:val="-2"/>
                <w:sz w:val="18"/>
              </w:rPr>
              <w:t>operacionais</w:t>
            </w:r>
          </w:p>
        </w:tc>
        <w:tc>
          <w:tcPr>
            <w:tcW w:w="4003" w:type="dxa"/>
            <w:gridSpan w:val="3"/>
          </w:tcPr>
          <w:p>
            <w:pPr>
              <w:pStyle w:val="TableParagraph"/>
              <w:rPr>
                <w:rFonts w:ascii="Times New Roman"/>
                <w:sz w:val="16"/>
              </w:rPr>
            </w:pPr>
          </w:p>
        </w:tc>
      </w:tr>
      <w:tr>
        <w:trPr>
          <w:trHeight w:val="330" w:hRule="atLeast"/>
        </w:trPr>
        <w:tc>
          <w:tcPr>
            <w:tcW w:w="6131" w:type="dxa"/>
          </w:tcPr>
          <w:p>
            <w:pPr>
              <w:pStyle w:val="TableParagraph"/>
              <w:spacing w:before="8"/>
              <w:ind w:left="50"/>
              <w:rPr>
                <w:sz w:val="18"/>
              </w:rPr>
            </w:pPr>
            <w:r>
              <w:rPr>
                <w:sz w:val="18"/>
              </w:rPr>
              <w:t>Lucro</w:t>
            </w:r>
            <w:r>
              <w:rPr>
                <w:spacing w:val="-6"/>
                <w:sz w:val="18"/>
              </w:rPr>
              <w:t> </w:t>
            </w:r>
            <w:r>
              <w:rPr>
                <w:sz w:val="18"/>
              </w:rPr>
              <w:t>líquido</w:t>
            </w:r>
            <w:r>
              <w:rPr>
                <w:spacing w:val="-3"/>
                <w:sz w:val="18"/>
              </w:rPr>
              <w:t> </w:t>
            </w:r>
            <w:r>
              <w:rPr>
                <w:sz w:val="18"/>
              </w:rPr>
              <w:t>do</w:t>
            </w:r>
            <w:r>
              <w:rPr>
                <w:spacing w:val="-2"/>
                <w:sz w:val="18"/>
              </w:rPr>
              <w:t> exercício</w:t>
            </w:r>
          </w:p>
        </w:tc>
        <w:tc>
          <w:tcPr>
            <w:tcW w:w="1761" w:type="dxa"/>
          </w:tcPr>
          <w:p>
            <w:pPr>
              <w:pStyle w:val="TableParagraph"/>
              <w:rPr>
                <w:rFonts w:ascii="Times New Roman"/>
                <w:sz w:val="18"/>
              </w:rPr>
            </w:pPr>
          </w:p>
        </w:tc>
        <w:tc>
          <w:tcPr>
            <w:tcW w:w="1203" w:type="dxa"/>
          </w:tcPr>
          <w:p>
            <w:pPr>
              <w:pStyle w:val="TableParagraph"/>
              <w:spacing w:before="8"/>
              <w:ind w:right="174"/>
              <w:jc w:val="right"/>
              <w:rPr>
                <w:sz w:val="18"/>
              </w:rPr>
            </w:pPr>
            <w:r>
              <w:rPr>
                <w:spacing w:val="-2"/>
                <w:sz w:val="18"/>
              </w:rPr>
              <w:t>1.472</w:t>
            </w:r>
          </w:p>
        </w:tc>
        <w:tc>
          <w:tcPr>
            <w:tcW w:w="1039" w:type="dxa"/>
          </w:tcPr>
          <w:p>
            <w:pPr>
              <w:pStyle w:val="TableParagraph"/>
              <w:spacing w:before="8"/>
              <w:ind w:right="161"/>
              <w:jc w:val="right"/>
              <w:rPr>
                <w:sz w:val="18"/>
              </w:rPr>
            </w:pPr>
            <w:r>
              <w:rPr>
                <w:spacing w:val="-2"/>
                <w:sz w:val="18"/>
              </w:rPr>
              <w:t>64.302</w:t>
            </w:r>
          </w:p>
        </w:tc>
      </w:tr>
      <w:tr>
        <w:trPr>
          <w:trHeight w:val="329" w:hRule="atLeast"/>
        </w:trPr>
        <w:tc>
          <w:tcPr>
            <w:tcW w:w="6131" w:type="dxa"/>
          </w:tcPr>
          <w:p>
            <w:pPr>
              <w:pStyle w:val="TableParagraph"/>
              <w:spacing w:before="69"/>
              <w:ind w:left="50"/>
              <w:rPr>
                <w:sz w:val="18"/>
              </w:rPr>
            </w:pPr>
            <w:r>
              <w:rPr>
                <w:sz w:val="18"/>
              </w:rPr>
              <w:t>Ajustes</w:t>
            </w:r>
            <w:r>
              <w:rPr>
                <w:spacing w:val="-1"/>
                <w:sz w:val="18"/>
              </w:rPr>
              <w:t> </w:t>
            </w:r>
            <w:r>
              <w:rPr>
                <w:spacing w:val="-2"/>
                <w:sz w:val="18"/>
              </w:rPr>
              <w:t>para:</w:t>
            </w:r>
          </w:p>
        </w:tc>
        <w:tc>
          <w:tcPr>
            <w:tcW w:w="1761" w:type="dxa"/>
          </w:tcPr>
          <w:p>
            <w:pPr>
              <w:pStyle w:val="TableParagraph"/>
              <w:rPr>
                <w:rFonts w:ascii="Times New Roman"/>
                <w:sz w:val="18"/>
              </w:rPr>
            </w:pPr>
          </w:p>
        </w:tc>
        <w:tc>
          <w:tcPr>
            <w:tcW w:w="1203" w:type="dxa"/>
          </w:tcPr>
          <w:p>
            <w:pPr>
              <w:pStyle w:val="TableParagraph"/>
              <w:rPr>
                <w:rFonts w:ascii="Times New Roman"/>
                <w:sz w:val="18"/>
              </w:rPr>
            </w:pPr>
          </w:p>
        </w:tc>
        <w:tc>
          <w:tcPr>
            <w:tcW w:w="1039" w:type="dxa"/>
          </w:tcPr>
          <w:p>
            <w:pPr>
              <w:pStyle w:val="TableParagraph"/>
              <w:rPr>
                <w:rFonts w:ascii="Times New Roman"/>
                <w:sz w:val="18"/>
              </w:rPr>
            </w:pPr>
          </w:p>
        </w:tc>
      </w:tr>
      <w:tr>
        <w:trPr>
          <w:trHeight w:val="270" w:hRule="atLeast"/>
        </w:trPr>
        <w:tc>
          <w:tcPr>
            <w:tcW w:w="6131" w:type="dxa"/>
          </w:tcPr>
          <w:p>
            <w:pPr>
              <w:pStyle w:val="TableParagraph"/>
              <w:spacing w:before="8"/>
              <w:ind w:left="50"/>
              <w:rPr>
                <w:sz w:val="18"/>
              </w:rPr>
            </w:pPr>
            <w:r>
              <w:rPr>
                <w:sz w:val="18"/>
              </w:rPr>
              <w:t>Rendimentos</w:t>
            </w:r>
            <w:r>
              <w:rPr>
                <w:spacing w:val="-3"/>
                <w:sz w:val="18"/>
              </w:rPr>
              <w:t> </w:t>
            </w:r>
            <w:r>
              <w:rPr>
                <w:sz w:val="18"/>
              </w:rPr>
              <w:t>de</w:t>
            </w:r>
            <w:r>
              <w:rPr>
                <w:spacing w:val="-4"/>
                <w:sz w:val="18"/>
              </w:rPr>
              <w:t> </w:t>
            </w:r>
            <w:r>
              <w:rPr>
                <w:sz w:val="18"/>
              </w:rPr>
              <w:t>recebíveis</w:t>
            </w:r>
            <w:r>
              <w:rPr>
                <w:spacing w:val="-2"/>
                <w:sz w:val="18"/>
              </w:rPr>
              <w:t> </w:t>
            </w:r>
            <w:r>
              <w:rPr>
                <w:sz w:val="18"/>
              </w:rPr>
              <w:t>de</w:t>
            </w:r>
            <w:r>
              <w:rPr>
                <w:spacing w:val="-3"/>
                <w:sz w:val="18"/>
              </w:rPr>
              <w:t> </w:t>
            </w:r>
            <w:r>
              <w:rPr>
                <w:sz w:val="18"/>
              </w:rPr>
              <w:t>ativos</w:t>
            </w:r>
            <w:r>
              <w:rPr>
                <w:spacing w:val="-3"/>
                <w:sz w:val="18"/>
              </w:rPr>
              <w:t> </w:t>
            </w:r>
            <w:r>
              <w:rPr>
                <w:spacing w:val="-2"/>
                <w:sz w:val="18"/>
              </w:rPr>
              <w:t>financeiros</w:t>
            </w:r>
          </w:p>
        </w:tc>
        <w:tc>
          <w:tcPr>
            <w:tcW w:w="1761" w:type="dxa"/>
          </w:tcPr>
          <w:p>
            <w:pPr>
              <w:pStyle w:val="TableParagraph"/>
              <w:spacing w:before="8"/>
              <w:ind w:right="297"/>
              <w:jc w:val="right"/>
              <w:rPr>
                <w:sz w:val="18"/>
              </w:rPr>
            </w:pPr>
            <w:r>
              <w:rPr>
                <w:spacing w:val="-5"/>
                <w:sz w:val="18"/>
              </w:rPr>
              <w:t>15</w:t>
            </w:r>
          </w:p>
        </w:tc>
        <w:tc>
          <w:tcPr>
            <w:tcW w:w="1203" w:type="dxa"/>
          </w:tcPr>
          <w:p>
            <w:pPr>
              <w:pStyle w:val="TableParagraph"/>
              <w:spacing w:before="8"/>
              <w:ind w:right="173"/>
              <w:jc w:val="right"/>
              <w:rPr>
                <w:sz w:val="18"/>
              </w:rPr>
            </w:pPr>
            <w:r>
              <w:rPr>
                <w:spacing w:val="-2"/>
                <w:sz w:val="18"/>
              </w:rPr>
              <w:t>(5.585)</w:t>
            </w:r>
          </w:p>
        </w:tc>
        <w:tc>
          <w:tcPr>
            <w:tcW w:w="1039" w:type="dxa"/>
          </w:tcPr>
          <w:p>
            <w:pPr>
              <w:pStyle w:val="TableParagraph"/>
              <w:spacing w:before="8"/>
              <w:ind w:right="158"/>
              <w:jc w:val="right"/>
              <w:rPr>
                <w:sz w:val="18"/>
              </w:rPr>
            </w:pPr>
            <w:r>
              <w:rPr>
                <w:spacing w:val="-2"/>
                <w:sz w:val="18"/>
              </w:rPr>
              <w:t>(3.102)</w:t>
            </w:r>
          </w:p>
        </w:tc>
      </w:tr>
      <w:tr>
        <w:trPr>
          <w:trHeight w:val="270" w:hRule="atLeast"/>
        </w:trPr>
        <w:tc>
          <w:tcPr>
            <w:tcW w:w="6131" w:type="dxa"/>
          </w:tcPr>
          <w:p>
            <w:pPr>
              <w:pStyle w:val="TableParagraph"/>
              <w:spacing w:before="9"/>
              <w:ind w:left="50"/>
              <w:rPr>
                <w:sz w:val="18"/>
              </w:rPr>
            </w:pPr>
            <w:r>
              <w:rPr>
                <w:sz w:val="18"/>
              </w:rPr>
              <w:t>Reversão</w:t>
            </w:r>
            <w:r>
              <w:rPr>
                <w:spacing w:val="-4"/>
                <w:sz w:val="18"/>
              </w:rPr>
              <w:t> </w:t>
            </w:r>
            <w:r>
              <w:rPr>
                <w:sz w:val="18"/>
              </w:rPr>
              <w:t>atuarial</w:t>
            </w:r>
            <w:r>
              <w:rPr>
                <w:spacing w:val="-3"/>
                <w:sz w:val="18"/>
              </w:rPr>
              <w:t> </w:t>
            </w:r>
            <w:r>
              <w:rPr>
                <w:sz w:val="18"/>
              </w:rPr>
              <w:t>de</w:t>
            </w:r>
            <w:r>
              <w:rPr>
                <w:spacing w:val="-2"/>
                <w:sz w:val="18"/>
              </w:rPr>
              <w:t> </w:t>
            </w:r>
            <w:r>
              <w:rPr>
                <w:sz w:val="18"/>
              </w:rPr>
              <w:t>planos</w:t>
            </w:r>
            <w:r>
              <w:rPr>
                <w:spacing w:val="-3"/>
                <w:sz w:val="18"/>
              </w:rPr>
              <w:t> </w:t>
            </w:r>
            <w:r>
              <w:rPr>
                <w:sz w:val="18"/>
              </w:rPr>
              <w:t>de</w:t>
            </w:r>
            <w:r>
              <w:rPr>
                <w:spacing w:val="-4"/>
                <w:sz w:val="18"/>
              </w:rPr>
              <w:t> </w:t>
            </w:r>
            <w:r>
              <w:rPr>
                <w:sz w:val="18"/>
              </w:rPr>
              <w:t>pensão</w:t>
            </w:r>
            <w:r>
              <w:rPr>
                <w:spacing w:val="-3"/>
                <w:sz w:val="18"/>
              </w:rPr>
              <w:t> </w:t>
            </w:r>
            <w:r>
              <w:rPr>
                <w:sz w:val="18"/>
              </w:rPr>
              <w:t>e</w:t>
            </w:r>
            <w:r>
              <w:rPr>
                <w:spacing w:val="-2"/>
                <w:sz w:val="18"/>
              </w:rPr>
              <w:t> </w:t>
            </w:r>
            <w:r>
              <w:rPr>
                <w:spacing w:val="-4"/>
                <w:sz w:val="18"/>
              </w:rPr>
              <w:t>saúde</w:t>
            </w:r>
          </w:p>
        </w:tc>
        <w:tc>
          <w:tcPr>
            <w:tcW w:w="1761" w:type="dxa"/>
          </w:tcPr>
          <w:p>
            <w:pPr>
              <w:pStyle w:val="TableParagraph"/>
              <w:spacing w:before="9"/>
              <w:ind w:right="230"/>
              <w:jc w:val="right"/>
              <w:rPr>
                <w:sz w:val="18"/>
              </w:rPr>
            </w:pPr>
            <w:r>
              <w:rPr>
                <w:spacing w:val="-4"/>
                <w:sz w:val="18"/>
              </w:rPr>
              <w:t>11.4</w:t>
            </w:r>
          </w:p>
        </w:tc>
        <w:tc>
          <w:tcPr>
            <w:tcW w:w="1203" w:type="dxa"/>
          </w:tcPr>
          <w:p>
            <w:pPr>
              <w:pStyle w:val="TableParagraph"/>
              <w:spacing w:before="9"/>
              <w:ind w:right="172"/>
              <w:jc w:val="right"/>
              <w:rPr>
                <w:sz w:val="18"/>
              </w:rPr>
            </w:pPr>
            <w:r>
              <w:rPr>
                <w:spacing w:val="-10"/>
                <w:sz w:val="18"/>
              </w:rPr>
              <w:t>‐</w:t>
            </w:r>
          </w:p>
        </w:tc>
        <w:tc>
          <w:tcPr>
            <w:tcW w:w="1039" w:type="dxa"/>
          </w:tcPr>
          <w:p>
            <w:pPr>
              <w:pStyle w:val="TableParagraph"/>
              <w:spacing w:before="9"/>
              <w:ind w:right="161"/>
              <w:jc w:val="right"/>
              <w:rPr>
                <w:sz w:val="18"/>
              </w:rPr>
            </w:pPr>
            <w:r>
              <w:rPr>
                <w:spacing w:val="-2"/>
                <w:sz w:val="18"/>
              </w:rPr>
              <w:t>(111.387)</w:t>
            </w:r>
          </w:p>
        </w:tc>
      </w:tr>
      <w:tr>
        <w:trPr>
          <w:trHeight w:val="270" w:hRule="atLeast"/>
        </w:trPr>
        <w:tc>
          <w:tcPr>
            <w:tcW w:w="6131" w:type="dxa"/>
          </w:tcPr>
          <w:p>
            <w:pPr>
              <w:pStyle w:val="TableParagraph"/>
              <w:spacing w:before="8"/>
              <w:ind w:left="50"/>
              <w:rPr>
                <w:sz w:val="18"/>
              </w:rPr>
            </w:pPr>
            <w:r>
              <w:rPr>
                <w:sz w:val="18"/>
              </w:rPr>
              <w:t>Baixas</w:t>
            </w:r>
            <w:r>
              <w:rPr>
                <w:spacing w:val="-4"/>
                <w:sz w:val="18"/>
              </w:rPr>
              <w:t> </w:t>
            </w:r>
            <w:r>
              <w:rPr>
                <w:sz w:val="18"/>
              </w:rPr>
              <w:t>de</w:t>
            </w:r>
            <w:r>
              <w:rPr>
                <w:spacing w:val="-3"/>
                <w:sz w:val="18"/>
              </w:rPr>
              <w:t> </w:t>
            </w:r>
            <w:r>
              <w:rPr>
                <w:sz w:val="18"/>
              </w:rPr>
              <w:t>materiais</w:t>
            </w:r>
            <w:r>
              <w:rPr>
                <w:spacing w:val="-3"/>
                <w:sz w:val="18"/>
              </w:rPr>
              <w:t> </w:t>
            </w:r>
            <w:r>
              <w:rPr>
                <w:spacing w:val="-2"/>
                <w:sz w:val="18"/>
              </w:rPr>
              <w:t>inservíveis</w:t>
            </w:r>
          </w:p>
        </w:tc>
        <w:tc>
          <w:tcPr>
            <w:tcW w:w="1761" w:type="dxa"/>
          </w:tcPr>
          <w:p>
            <w:pPr>
              <w:pStyle w:val="TableParagraph"/>
              <w:rPr>
                <w:rFonts w:ascii="Times New Roman"/>
                <w:sz w:val="18"/>
              </w:rPr>
            </w:pPr>
          </w:p>
        </w:tc>
        <w:tc>
          <w:tcPr>
            <w:tcW w:w="1203" w:type="dxa"/>
          </w:tcPr>
          <w:p>
            <w:pPr>
              <w:pStyle w:val="TableParagraph"/>
              <w:spacing w:before="8"/>
              <w:ind w:right="176"/>
              <w:jc w:val="right"/>
              <w:rPr>
                <w:sz w:val="18"/>
              </w:rPr>
            </w:pPr>
            <w:r>
              <w:rPr>
                <w:spacing w:val="-5"/>
                <w:sz w:val="18"/>
              </w:rPr>
              <w:t>343</w:t>
            </w:r>
          </w:p>
        </w:tc>
        <w:tc>
          <w:tcPr>
            <w:tcW w:w="1039" w:type="dxa"/>
          </w:tcPr>
          <w:p>
            <w:pPr>
              <w:pStyle w:val="TableParagraph"/>
              <w:spacing w:before="8"/>
              <w:ind w:right="161"/>
              <w:jc w:val="right"/>
              <w:rPr>
                <w:sz w:val="18"/>
              </w:rPr>
            </w:pPr>
            <w:r>
              <w:rPr>
                <w:spacing w:val="-2"/>
                <w:sz w:val="18"/>
              </w:rPr>
              <w:t>3.208</w:t>
            </w:r>
          </w:p>
        </w:tc>
      </w:tr>
      <w:tr>
        <w:trPr>
          <w:trHeight w:val="270" w:hRule="atLeast"/>
        </w:trPr>
        <w:tc>
          <w:tcPr>
            <w:tcW w:w="6131" w:type="dxa"/>
          </w:tcPr>
          <w:p>
            <w:pPr>
              <w:pStyle w:val="TableParagraph"/>
              <w:spacing w:before="9"/>
              <w:ind w:left="50"/>
              <w:rPr>
                <w:sz w:val="18"/>
              </w:rPr>
            </w:pPr>
            <w:r>
              <w:rPr>
                <w:sz w:val="18"/>
              </w:rPr>
              <w:t>Atualização</w:t>
            </w:r>
            <w:r>
              <w:rPr>
                <w:spacing w:val="-7"/>
                <w:sz w:val="18"/>
              </w:rPr>
              <w:t> </w:t>
            </w:r>
            <w:r>
              <w:rPr>
                <w:sz w:val="18"/>
              </w:rPr>
              <w:t>monetária</w:t>
            </w:r>
            <w:r>
              <w:rPr>
                <w:spacing w:val="-4"/>
                <w:sz w:val="18"/>
              </w:rPr>
              <w:t> </w:t>
            </w:r>
            <w:r>
              <w:rPr>
                <w:sz w:val="18"/>
              </w:rPr>
              <w:t>sobre</w:t>
            </w:r>
            <w:r>
              <w:rPr>
                <w:spacing w:val="-4"/>
                <w:sz w:val="18"/>
              </w:rPr>
              <w:t> </w:t>
            </w:r>
            <w:r>
              <w:rPr>
                <w:sz w:val="18"/>
              </w:rPr>
              <w:t>créditos</w:t>
            </w:r>
            <w:r>
              <w:rPr>
                <w:spacing w:val="-4"/>
                <w:sz w:val="18"/>
              </w:rPr>
              <w:t> </w:t>
            </w:r>
            <w:r>
              <w:rPr>
                <w:sz w:val="18"/>
              </w:rPr>
              <w:t>fiscais</w:t>
            </w:r>
            <w:r>
              <w:rPr>
                <w:spacing w:val="-4"/>
                <w:sz w:val="18"/>
              </w:rPr>
              <w:t> </w:t>
            </w:r>
            <w:r>
              <w:rPr>
                <w:sz w:val="18"/>
              </w:rPr>
              <w:t>(PIS/COFINS)</w:t>
            </w:r>
            <w:r>
              <w:rPr>
                <w:spacing w:val="-3"/>
                <w:sz w:val="18"/>
              </w:rPr>
              <w:t> </w:t>
            </w:r>
            <w:r>
              <w:rPr>
                <w:sz w:val="18"/>
              </w:rPr>
              <w:t>a</w:t>
            </w:r>
            <w:r>
              <w:rPr>
                <w:spacing w:val="-4"/>
                <w:sz w:val="18"/>
              </w:rPr>
              <w:t> </w:t>
            </w:r>
            <w:r>
              <w:rPr>
                <w:spacing w:val="-2"/>
                <w:sz w:val="18"/>
              </w:rPr>
              <w:t>retituir</w:t>
            </w:r>
          </w:p>
        </w:tc>
        <w:tc>
          <w:tcPr>
            <w:tcW w:w="1761" w:type="dxa"/>
          </w:tcPr>
          <w:p>
            <w:pPr>
              <w:pStyle w:val="TableParagraph"/>
              <w:rPr>
                <w:rFonts w:ascii="Times New Roman"/>
                <w:sz w:val="18"/>
              </w:rPr>
            </w:pPr>
          </w:p>
        </w:tc>
        <w:tc>
          <w:tcPr>
            <w:tcW w:w="1203" w:type="dxa"/>
          </w:tcPr>
          <w:p>
            <w:pPr>
              <w:pStyle w:val="TableParagraph"/>
              <w:spacing w:before="9"/>
              <w:ind w:right="173"/>
              <w:jc w:val="right"/>
              <w:rPr>
                <w:sz w:val="18"/>
              </w:rPr>
            </w:pPr>
            <w:r>
              <w:rPr>
                <w:spacing w:val="-2"/>
                <w:sz w:val="18"/>
              </w:rPr>
              <w:t>(2.716)</w:t>
            </w:r>
          </w:p>
        </w:tc>
        <w:tc>
          <w:tcPr>
            <w:tcW w:w="1039" w:type="dxa"/>
          </w:tcPr>
          <w:p>
            <w:pPr>
              <w:pStyle w:val="TableParagraph"/>
              <w:spacing w:before="9"/>
              <w:ind w:right="161"/>
              <w:jc w:val="right"/>
              <w:rPr>
                <w:sz w:val="18"/>
              </w:rPr>
            </w:pPr>
            <w:r>
              <w:rPr>
                <w:spacing w:val="-10"/>
                <w:sz w:val="18"/>
              </w:rPr>
              <w:t>‐</w:t>
            </w:r>
          </w:p>
        </w:tc>
      </w:tr>
      <w:tr>
        <w:trPr>
          <w:trHeight w:val="270" w:hRule="atLeast"/>
        </w:trPr>
        <w:tc>
          <w:tcPr>
            <w:tcW w:w="6131" w:type="dxa"/>
          </w:tcPr>
          <w:p>
            <w:pPr>
              <w:pStyle w:val="TableParagraph"/>
              <w:spacing w:before="8"/>
              <w:ind w:left="50"/>
              <w:rPr>
                <w:sz w:val="18"/>
              </w:rPr>
            </w:pPr>
            <w:r>
              <w:rPr>
                <w:sz w:val="18"/>
              </w:rPr>
              <w:t>Reversão</w:t>
            </w:r>
            <w:r>
              <w:rPr>
                <w:spacing w:val="-6"/>
                <w:sz w:val="18"/>
              </w:rPr>
              <w:t> </w:t>
            </w:r>
            <w:r>
              <w:rPr>
                <w:sz w:val="18"/>
              </w:rPr>
              <w:t>de</w:t>
            </w:r>
            <w:r>
              <w:rPr>
                <w:spacing w:val="-4"/>
                <w:sz w:val="18"/>
              </w:rPr>
              <w:t> </w:t>
            </w:r>
            <w:r>
              <w:rPr>
                <w:sz w:val="18"/>
              </w:rPr>
              <w:t>provisão</w:t>
            </w:r>
            <w:r>
              <w:rPr>
                <w:spacing w:val="-2"/>
                <w:sz w:val="18"/>
              </w:rPr>
              <w:t> </w:t>
            </w:r>
            <w:r>
              <w:rPr>
                <w:sz w:val="18"/>
              </w:rPr>
              <w:t>com</w:t>
            </w:r>
            <w:r>
              <w:rPr>
                <w:spacing w:val="-3"/>
                <w:sz w:val="18"/>
              </w:rPr>
              <w:t> </w:t>
            </w:r>
            <w:r>
              <w:rPr>
                <w:sz w:val="18"/>
              </w:rPr>
              <w:t>perda</w:t>
            </w:r>
            <w:r>
              <w:rPr>
                <w:spacing w:val="-3"/>
                <w:sz w:val="18"/>
              </w:rPr>
              <w:t> </w:t>
            </w:r>
            <w:r>
              <w:rPr>
                <w:sz w:val="18"/>
              </w:rPr>
              <w:t>de</w:t>
            </w:r>
            <w:r>
              <w:rPr>
                <w:spacing w:val="-3"/>
                <w:sz w:val="18"/>
              </w:rPr>
              <w:t> </w:t>
            </w:r>
            <w:r>
              <w:rPr>
                <w:sz w:val="18"/>
              </w:rPr>
              <w:t>créditos</w:t>
            </w:r>
            <w:r>
              <w:rPr>
                <w:spacing w:val="-2"/>
                <w:sz w:val="18"/>
              </w:rPr>
              <w:t> tributários</w:t>
            </w:r>
          </w:p>
        </w:tc>
        <w:tc>
          <w:tcPr>
            <w:tcW w:w="1761" w:type="dxa"/>
          </w:tcPr>
          <w:p>
            <w:pPr>
              <w:pStyle w:val="TableParagraph"/>
              <w:rPr>
                <w:rFonts w:ascii="Times New Roman"/>
                <w:sz w:val="18"/>
              </w:rPr>
            </w:pPr>
          </w:p>
        </w:tc>
        <w:tc>
          <w:tcPr>
            <w:tcW w:w="1203" w:type="dxa"/>
          </w:tcPr>
          <w:p>
            <w:pPr>
              <w:pStyle w:val="TableParagraph"/>
              <w:spacing w:before="8"/>
              <w:ind w:right="172"/>
              <w:jc w:val="right"/>
              <w:rPr>
                <w:sz w:val="18"/>
              </w:rPr>
            </w:pPr>
            <w:r>
              <w:rPr>
                <w:spacing w:val="-10"/>
                <w:sz w:val="18"/>
              </w:rPr>
              <w:t>‐</w:t>
            </w:r>
          </w:p>
        </w:tc>
        <w:tc>
          <w:tcPr>
            <w:tcW w:w="1039" w:type="dxa"/>
          </w:tcPr>
          <w:p>
            <w:pPr>
              <w:pStyle w:val="TableParagraph"/>
              <w:spacing w:before="8"/>
              <w:ind w:right="158"/>
              <w:jc w:val="right"/>
              <w:rPr>
                <w:sz w:val="18"/>
              </w:rPr>
            </w:pPr>
            <w:r>
              <w:rPr>
                <w:spacing w:val="-2"/>
                <w:sz w:val="18"/>
              </w:rPr>
              <w:t>(1.225)</w:t>
            </w:r>
          </w:p>
        </w:tc>
      </w:tr>
      <w:tr>
        <w:trPr>
          <w:trHeight w:val="270" w:hRule="atLeast"/>
        </w:trPr>
        <w:tc>
          <w:tcPr>
            <w:tcW w:w="6131" w:type="dxa"/>
          </w:tcPr>
          <w:p>
            <w:pPr>
              <w:pStyle w:val="TableParagraph"/>
              <w:spacing w:before="9"/>
              <w:ind w:left="50"/>
              <w:rPr>
                <w:sz w:val="18"/>
              </w:rPr>
            </w:pPr>
            <w:r>
              <w:rPr>
                <w:sz w:val="18"/>
              </w:rPr>
              <w:t>Provisão</w:t>
            </w:r>
            <w:r>
              <w:rPr>
                <w:spacing w:val="-3"/>
                <w:sz w:val="18"/>
              </w:rPr>
              <w:t> </w:t>
            </w:r>
            <w:r>
              <w:rPr>
                <w:sz w:val="18"/>
              </w:rPr>
              <w:t>para</w:t>
            </w:r>
            <w:r>
              <w:rPr>
                <w:spacing w:val="-3"/>
                <w:sz w:val="18"/>
              </w:rPr>
              <w:t> </w:t>
            </w:r>
            <w:r>
              <w:rPr>
                <w:sz w:val="18"/>
              </w:rPr>
              <w:t>custo</w:t>
            </w:r>
            <w:r>
              <w:rPr>
                <w:spacing w:val="-3"/>
                <w:sz w:val="18"/>
              </w:rPr>
              <w:t> </w:t>
            </w:r>
            <w:r>
              <w:rPr>
                <w:sz w:val="18"/>
              </w:rPr>
              <w:t>de</w:t>
            </w:r>
            <w:r>
              <w:rPr>
                <w:spacing w:val="-3"/>
                <w:sz w:val="18"/>
              </w:rPr>
              <w:t> </w:t>
            </w:r>
            <w:r>
              <w:rPr>
                <w:sz w:val="18"/>
              </w:rPr>
              <w:t>retirada</w:t>
            </w:r>
            <w:r>
              <w:rPr>
                <w:spacing w:val="-3"/>
                <w:sz w:val="18"/>
              </w:rPr>
              <w:t> </w:t>
            </w:r>
            <w:r>
              <w:rPr>
                <w:sz w:val="18"/>
              </w:rPr>
              <w:t>de</w:t>
            </w:r>
            <w:r>
              <w:rPr>
                <w:spacing w:val="-3"/>
                <w:sz w:val="18"/>
              </w:rPr>
              <w:t> </w:t>
            </w:r>
            <w:r>
              <w:rPr>
                <w:sz w:val="18"/>
              </w:rPr>
              <w:t>patrocínio</w:t>
            </w:r>
            <w:r>
              <w:rPr>
                <w:spacing w:val="-3"/>
                <w:sz w:val="18"/>
              </w:rPr>
              <w:t> </w:t>
            </w:r>
            <w:r>
              <w:rPr>
                <w:sz w:val="18"/>
              </w:rPr>
              <w:t>de</w:t>
            </w:r>
            <w:r>
              <w:rPr>
                <w:spacing w:val="-3"/>
                <w:sz w:val="18"/>
              </w:rPr>
              <w:t> </w:t>
            </w:r>
            <w:r>
              <w:rPr>
                <w:sz w:val="18"/>
              </w:rPr>
              <w:t>planos</w:t>
            </w:r>
            <w:r>
              <w:rPr>
                <w:spacing w:val="-3"/>
                <w:sz w:val="18"/>
              </w:rPr>
              <w:t> </w:t>
            </w:r>
            <w:r>
              <w:rPr>
                <w:sz w:val="18"/>
              </w:rPr>
              <w:t>de</w:t>
            </w:r>
            <w:r>
              <w:rPr>
                <w:spacing w:val="-3"/>
                <w:sz w:val="18"/>
              </w:rPr>
              <w:t> </w:t>
            </w:r>
            <w:r>
              <w:rPr>
                <w:spacing w:val="-2"/>
                <w:sz w:val="18"/>
              </w:rPr>
              <w:t>pensão</w:t>
            </w:r>
          </w:p>
        </w:tc>
        <w:tc>
          <w:tcPr>
            <w:tcW w:w="1761" w:type="dxa"/>
          </w:tcPr>
          <w:p>
            <w:pPr>
              <w:pStyle w:val="TableParagraph"/>
              <w:spacing w:before="9"/>
              <w:ind w:right="230"/>
              <w:jc w:val="right"/>
              <w:rPr>
                <w:sz w:val="18"/>
              </w:rPr>
            </w:pPr>
            <w:r>
              <w:rPr>
                <w:spacing w:val="-4"/>
                <w:sz w:val="18"/>
              </w:rPr>
              <w:t>11.4</w:t>
            </w:r>
          </w:p>
        </w:tc>
        <w:tc>
          <w:tcPr>
            <w:tcW w:w="1203" w:type="dxa"/>
          </w:tcPr>
          <w:p>
            <w:pPr>
              <w:pStyle w:val="TableParagraph"/>
              <w:spacing w:before="9"/>
              <w:ind w:right="172"/>
              <w:jc w:val="right"/>
              <w:rPr>
                <w:sz w:val="18"/>
              </w:rPr>
            </w:pPr>
            <w:r>
              <w:rPr>
                <w:spacing w:val="-10"/>
                <w:sz w:val="18"/>
              </w:rPr>
              <w:t>‐</w:t>
            </w:r>
          </w:p>
        </w:tc>
        <w:tc>
          <w:tcPr>
            <w:tcW w:w="1039" w:type="dxa"/>
          </w:tcPr>
          <w:p>
            <w:pPr>
              <w:pStyle w:val="TableParagraph"/>
              <w:spacing w:before="9"/>
              <w:ind w:right="161"/>
              <w:jc w:val="right"/>
              <w:rPr>
                <w:sz w:val="18"/>
              </w:rPr>
            </w:pPr>
            <w:r>
              <w:rPr>
                <w:spacing w:val="-2"/>
                <w:sz w:val="18"/>
              </w:rPr>
              <w:t>18.445</w:t>
            </w:r>
          </w:p>
        </w:tc>
      </w:tr>
      <w:tr>
        <w:trPr>
          <w:trHeight w:val="270" w:hRule="atLeast"/>
        </w:trPr>
        <w:tc>
          <w:tcPr>
            <w:tcW w:w="6131" w:type="dxa"/>
          </w:tcPr>
          <w:p>
            <w:pPr>
              <w:pStyle w:val="TableParagraph"/>
              <w:spacing w:before="8"/>
              <w:ind w:left="50"/>
              <w:rPr>
                <w:sz w:val="18"/>
              </w:rPr>
            </w:pPr>
            <w:r>
              <w:rPr>
                <w:sz w:val="18"/>
              </w:rPr>
              <w:t>Reversão</w:t>
            </w:r>
            <w:r>
              <w:rPr>
                <w:spacing w:val="-3"/>
                <w:sz w:val="18"/>
              </w:rPr>
              <w:t> </w:t>
            </w:r>
            <w:r>
              <w:rPr>
                <w:sz w:val="18"/>
              </w:rPr>
              <w:t>de</w:t>
            </w:r>
            <w:r>
              <w:rPr>
                <w:spacing w:val="-3"/>
                <w:sz w:val="18"/>
              </w:rPr>
              <w:t> </w:t>
            </w:r>
            <w:r>
              <w:rPr>
                <w:sz w:val="18"/>
              </w:rPr>
              <w:t>perda</w:t>
            </w:r>
            <w:r>
              <w:rPr>
                <w:spacing w:val="-2"/>
                <w:sz w:val="18"/>
              </w:rPr>
              <w:t> </w:t>
            </w:r>
            <w:r>
              <w:rPr>
                <w:sz w:val="18"/>
              </w:rPr>
              <w:t>de</w:t>
            </w:r>
            <w:r>
              <w:rPr>
                <w:spacing w:val="-1"/>
                <w:sz w:val="18"/>
              </w:rPr>
              <w:t> </w:t>
            </w:r>
            <w:r>
              <w:rPr>
                <w:sz w:val="18"/>
              </w:rPr>
              <w:t>créditos</w:t>
            </w:r>
            <w:r>
              <w:rPr>
                <w:spacing w:val="-2"/>
                <w:sz w:val="18"/>
              </w:rPr>
              <w:t> </w:t>
            </w:r>
            <w:r>
              <w:rPr>
                <w:sz w:val="18"/>
              </w:rPr>
              <w:t>esperadas</w:t>
            </w:r>
            <w:r>
              <w:rPr>
                <w:spacing w:val="-3"/>
                <w:sz w:val="18"/>
              </w:rPr>
              <w:t> </w:t>
            </w:r>
            <w:r>
              <w:rPr>
                <w:sz w:val="18"/>
              </w:rPr>
              <w:t>‐</w:t>
            </w:r>
            <w:r>
              <w:rPr>
                <w:spacing w:val="-1"/>
                <w:sz w:val="18"/>
              </w:rPr>
              <w:t> </w:t>
            </w:r>
            <w:r>
              <w:rPr>
                <w:spacing w:val="-5"/>
                <w:sz w:val="18"/>
              </w:rPr>
              <w:t>PCE</w:t>
            </w:r>
          </w:p>
        </w:tc>
        <w:tc>
          <w:tcPr>
            <w:tcW w:w="1761" w:type="dxa"/>
          </w:tcPr>
          <w:p>
            <w:pPr>
              <w:pStyle w:val="TableParagraph"/>
              <w:rPr>
                <w:rFonts w:ascii="Times New Roman"/>
                <w:sz w:val="18"/>
              </w:rPr>
            </w:pPr>
          </w:p>
        </w:tc>
        <w:tc>
          <w:tcPr>
            <w:tcW w:w="1203" w:type="dxa"/>
          </w:tcPr>
          <w:p>
            <w:pPr>
              <w:pStyle w:val="TableParagraph"/>
              <w:spacing w:before="8"/>
              <w:ind w:right="175"/>
              <w:jc w:val="right"/>
              <w:rPr>
                <w:sz w:val="18"/>
              </w:rPr>
            </w:pPr>
            <w:r>
              <w:rPr>
                <w:spacing w:val="-2"/>
                <w:sz w:val="18"/>
              </w:rPr>
              <w:t>(226)</w:t>
            </w:r>
          </w:p>
        </w:tc>
        <w:tc>
          <w:tcPr>
            <w:tcW w:w="1039" w:type="dxa"/>
          </w:tcPr>
          <w:p>
            <w:pPr>
              <w:pStyle w:val="TableParagraph"/>
              <w:spacing w:before="8"/>
              <w:ind w:right="161"/>
              <w:jc w:val="right"/>
              <w:rPr>
                <w:sz w:val="18"/>
              </w:rPr>
            </w:pPr>
            <w:r>
              <w:rPr>
                <w:spacing w:val="-2"/>
                <w:sz w:val="18"/>
              </w:rPr>
              <w:t>(409)</w:t>
            </w:r>
          </w:p>
        </w:tc>
      </w:tr>
      <w:tr>
        <w:trPr>
          <w:trHeight w:val="270" w:hRule="atLeast"/>
        </w:trPr>
        <w:tc>
          <w:tcPr>
            <w:tcW w:w="6131" w:type="dxa"/>
          </w:tcPr>
          <w:p>
            <w:pPr>
              <w:pStyle w:val="TableParagraph"/>
              <w:spacing w:before="9"/>
              <w:ind w:left="50"/>
              <w:rPr>
                <w:sz w:val="18"/>
              </w:rPr>
            </w:pPr>
            <w:r>
              <w:rPr>
                <w:sz w:val="18"/>
              </w:rPr>
              <w:t>Reversão</w:t>
            </w:r>
            <w:r>
              <w:rPr>
                <w:spacing w:val="-4"/>
                <w:sz w:val="18"/>
              </w:rPr>
              <w:t> </w:t>
            </w:r>
            <w:r>
              <w:rPr>
                <w:sz w:val="18"/>
              </w:rPr>
              <w:t>de</w:t>
            </w:r>
            <w:r>
              <w:rPr>
                <w:spacing w:val="-4"/>
                <w:sz w:val="18"/>
              </w:rPr>
              <w:t> </w:t>
            </w:r>
            <w:r>
              <w:rPr>
                <w:sz w:val="18"/>
              </w:rPr>
              <w:t>perdas</w:t>
            </w:r>
            <w:r>
              <w:rPr>
                <w:spacing w:val="-2"/>
                <w:sz w:val="18"/>
              </w:rPr>
              <w:t> </w:t>
            </w:r>
            <w:r>
              <w:rPr>
                <w:sz w:val="18"/>
              </w:rPr>
              <w:t>com</w:t>
            </w:r>
            <w:r>
              <w:rPr>
                <w:spacing w:val="-3"/>
                <w:sz w:val="18"/>
              </w:rPr>
              <w:t> </w:t>
            </w:r>
            <w:r>
              <w:rPr>
                <w:sz w:val="18"/>
              </w:rPr>
              <w:t>processos</w:t>
            </w:r>
            <w:r>
              <w:rPr>
                <w:spacing w:val="-2"/>
                <w:sz w:val="18"/>
              </w:rPr>
              <w:t> </w:t>
            </w:r>
            <w:r>
              <w:rPr>
                <w:sz w:val="18"/>
              </w:rPr>
              <w:t>judiciais</w:t>
            </w:r>
            <w:r>
              <w:rPr>
                <w:spacing w:val="-2"/>
                <w:sz w:val="18"/>
              </w:rPr>
              <w:t> </w:t>
            </w:r>
            <w:r>
              <w:rPr>
                <w:sz w:val="18"/>
              </w:rPr>
              <w:t>e</w:t>
            </w:r>
            <w:r>
              <w:rPr>
                <w:spacing w:val="-2"/>
                <w:sz w:val="18"/>
              </w:rPr>
              <w:t> administrativos</w:t>
            </w:r>
          </w:p>
        </w:tc>
        <w:tc>
          <w:tcPr>
            <w:tcW w:w="1761" w:type="dxa"/>
          </w:tcPr>
          <w:p>
            <w:pPr>
              <w:pStyle w:val="TableParagraph"/>
              <w:rPr>
                <w:rFonts w:ascii="Times New Roman"/>
                <w:sz w:val="18"/>
              </w:rPr>
            </w:pPr>
          </w:p>
        </w:tc>
        <w:tc>
          <w:tcPr>
            <w:tcW w:w="1203" w:type="dxa"/>
          </w:tcPr>
          <w:p>
            <w:pPr>
              <w:pStyle w:val="TableParagraph"/>
              <w:spacing w:before="9"/>
              <w:ind w:right="173"/>
              <w:jc w:val="right"/>
              <w:rPr>
                <w:sz w:val="18"/>
              </w:rPr>
            </w:pPr>
            <w:r>
              <w:rPr>
                <w:spacing w:val="-2"/>
                <w:sz w:val="18"/>
              </w:rPr>
              <w:t>(1.334)</w:t>
            </w:r>
          </w:p>
        </w:tc>
        <w:tc>
          <w:tcPr>
            <w:tcW w:w="1039" w:type="dxa"/>
          </w:tcPr>
          <w:p>
            <w:pPr>
              <w:pStyle w:val="TableParagraph"/>
              <w:spacing w:before="9"/>
              <w:ind w:right="161"/>
              <w:jc w:val="right"/>
              <w:rPr>
                <w:sz w:val="18"/>
              </w:rPr>
            </w:pPr>
            <w:r>
              <w:rPr>
                <w:spacing w:val="-10"/>
                <w:sz w:val="18"/>
              </w:rPr>
              <w:t>‐</w:t>
            </w:r>
          </w:p>
        </w:tc>
      </w:tr>
      <w:tr>
        <w:trPr>
          <w:trHeight w:val="262" w:hRule="atLeast"/>
        </w:trPr>
        <w:tc>
          <w:tcPr>
            <w:tcW w:w="6131" w:type="dxa"/>
          </w:tcPr>
          <w:p>
            <w:pPr>
              <w:pStyle w:val="TableParagraph"/>
              <w:spacing w:before="8"/>
              <w:ind w:left="50"/>
              <w:rPr>
                <w:sz w:val="18"/>
              </w:rPr>
            </w:pPr>
            <w:r>
              <w:rPr>
                <w:sz w:val="18"/>
              </w:rPr>
              <w:t>Ajustes</w:t>
            </w:r>
            <w:r>
              <w:rPr>
                <w:spacing w:val="-5"/>
                <w:sz w:val="18"/>
              </w:rPr>
              <w:t> </w:t>
            </w:r>
            <w:r>
              <w:rPr>
                <w:sz w:val="18"/>
              </w:rPr>
              <w:t>ao</w:t>
            </w:r>
            <w:r>
              <w:rPr>
                <w:spacing w:val="-1"/>
                <w:sz w:val="18"/>
              </w:rPr>
              <w:t> </w:t>
            </w:r>
            <w:r>
              <w:rPr>
                <w:sz w:val="18"/>
              </w:rPr>
              <w:t>valor</w:t>
            </w:r>
            <w:r>
              <w:rPr>
                <w:spacing w:val="-3"/>
                <w:sz w:val="18"/>
              </w:rPr>
              <w:t> </w:t>
            </w:r>
            <w:r>
              <w:rPr>
                <w:sz w:val="18"/>
              </w:rPr>
              <w:t>de</w:t>
            </w:r>
            <w:r>
              <w:rPr>
                <w:spacing w:val="-1"/>
                <w:sz w:val="18"/>
              </w:rPr>
              <w:t> </w:t>
            </w:r>
            <w:r>
              <w:rPr>
                <w:sz w:val="18"/>
              </w:rPr>
              <w:t>realização</w:t>
            </w:r>
            <w:r>
              <w:rPr>
                <w:spacing w:val="-2"/>
                <w:sz w:val="18"/>
              </w:rPr>
              <w:t> </w:t>
            </w:r>
            <w:r>
              <w:rPr>
                <w:sz w:val="18"/>
              </w:rPr>
              <w:t>de</w:t>
            </w:r>
            <w:r>
              <w:rPr>
                <w:spacing w:val="-1"/>
                <w:sz w:val="18"/>
              </w:rPr>
              <w:t> </w:t>
            </w:r>
            <w:r>
              <w:rPr>
                <w:spacing w:val="-2"/>
                <w:sz w:val="18"/>
              </w:rPr>
              <w:t>estoques</w:t>
            </w:r>
          </w:p>
        </w:tc>
        <w:tc>
          <w:tcPr>
            <w:tcW w:w="1761" w:type="dxa"/>
          </w:tcPr>
          <w:p>
            <w:pPr>
              <w:pStyle w:val="TableParagraph"/>
              <w:rPr>
                <w:rFonts w:ascii="Times New Roman"/>
                <w:sz w:val="18"/>
              </w:rPr>
            </w:pPr>
          </w:p>
        </w:tc>
        <w:tc>
          <w:tcPr>
            <w:tcW w:w="1203" w:type="dxa"/>
          </w:tcPr>
          <w:p>
            <w:pPr>
              <w:pStyle w:val="TableParagraph"/>
              <w:spacing w:before="8"/>
              <w:ind w:right="172"/>
              <w:jc w:val="right"/>
              <w:rPr>
                <w:sz w:val="18"/>
              </w:rPr>
            </w:pPr>
            <w:r>
              <w:rPr>
                <w:spacing w:val="-10"/>
                <w:sz w:val="18"/>
              </w:rPr>
              <w:t>‐</w:t>
            </w:r>
          </w:p>
        </w:tc>
        <w:tc>
          <w:tcPr>
            <w:tcW w:w="1039" w:type="dxa"/>
          </w:tcPr>
          <w:p>
            <w:pPr>
              <w:pStyle w:val="TableParagraph"/>
              <w:spacing w:before="8"/>
              <w:ind w:right="161"/>
              <w:jc w:val="right"/>
              <w:rPr>
                <w:sz w:val="18"/>
              </w:rPr>
            </w:pPr>
            <w:r>
              <w:rPr>
                <w:spacing w:val="-5"/>
                <w:sz w:val="18"/>
              </w:rPr>
              <w:t>699</w:t>
            </w:r>
          </w:p>
        </w:tc>
      </w:tr>
      <w:tr>
        <w:trPr>
          <w:trHeight w:val="292" w:hRule="atLeast"/>
        </w:trPr>
        <w:tc>
          <w:tcPr>
            <w:tcW w:w="6131" w:type="dxa"/>
          </w:tcPr>
          <w:p>
            <w:pPr>
              <w:pStyle w:val="TableParagraph"/>
              <w:spacing w:before="1"/>
              <w:ind w:left="50"/>
              <w:rPr>
                <w:sz w:val="18"/>
              </w:rPr>
            </w:pPr>
            <w:r>
              <w:rPr>
                <w:sz w:val="18"/>
              </w:rPr>
              <w:t>Reversão</w:t>
            </w:r>
            <w:r>
              <w:rPr>
                <w:spacing w:val="-5"/>
                <w:sz w:val="18"/>
              </w:rPr>
              <w:t> </w:t>
            </w:r>
            <w:r>
              <w:rPr>
                <w:sz w:val="18"/>
              </w:rPr>
              <w:t>de</w:t>
            </w:r>
            <w:r>
              <w:rPr>
                <w:spacing w:val="-3"/>
                <w:sz w:val="18"/>
              </w:rPr>
              <w:t> </w:t>
            </w:r>
            <w:r>
              <w:rPr>
                <w:spacing w:val="-2"/>
                <w:sz w:val="18"/>
              </w:rPr>
              <w:t>despesas</w:t>
            </w:r>
          </w:p>
        </w:tc>
        <w:tc>
          <w:tcPr>
            <w:tcW w:w="1761" w:type="dxa"/>
          </w:tcPr>
          <w:p>
            <w:pPr>
              <w:pStyle w:val="TableParagraph"/>
              <w:rPr>
                <w:rFonts w:ascii="Times New Roman"/>
                <w:sz w:val="18"/>
              </w:rPr>
            </w:pPr>
          </w:p>
        </w:tc>
        <w:tc>
          <w:tcPr>
            <w:tcW w:w="1203" w:type="dxa"/>
          </w:tcPr>
          <w:p>
            <w:pPr>
              <w:pStyle w:val="TableParagraph"/>
              <w:spacing w:before="1"/>
              <w:ind w:right="173"/>
              <w:jc w:val="right"/>
              <w:rPr>
                <w:sz w:val="18"/>
              </w:rPr>
            </w:pPr>
            <w:r>
              <w:rPr>
                <w:spacing w:val="-2"/>
                <w:sz w:val="18"/>
              </w:rPr>
              <w:t>(1.951)</w:t>
            </w:r>
          </w:p>
        </w:tc>
        <w:tc>
          <w:tcPr>
            <w:tcW w:w="1039" w:type="dxa"/>
          </w:tcPr>
          <w:p>
            <w:pPr>
              <w:pStyle w:val="TableParagraph"/>
              <w:spacing w:before="1"/>
              <w:ind w:right="161"/>
              <w:jc w:val="right"/>
              <w:rPr>
                <w:sz w:val="18"/>
              </w:rPr>
            </w:pPr>
            <w:r>
              <w:rPr>
                <w:spacing w:val="-10"/>
                <w:sz w:val="18"/>
              </w:rPr>
              <w:t>‐</w:t>
            </w:r>
          </w:p>
        </w:tc>
      </w:tr>
      <w:tr>
        <w:trPr>
          <w:trHeight w:val="300" w:hRule="atLeast"/>
        </w:trPr>
        <w:tc>
          <w:tcPr>
            <w:tcW w:w="6131" w:type="dxa"/>
          </w:tcPr>
          <w:p>
            <w:pPr>
              <w:pStyle w:val="TableParagraph"/>
              <w:spacing w:before="38"/>
              <w:ind w:left="50"/>
              <w:rPr>
                <w:sz w:val="18"/>
              </w:rPr>
            </w:pPr>
            <w:r>
              <w:rPr>
                <w:sz w:val="18"/>
              </w:rPr>
              <w:t>Redução</w:t>
            </w:r>
            <w:r>
              <w:rPr>
                <w:spacing w:val="-3"/>
                <w:sz w:val="18"/>
              </w:rPr>
              <w:t> </w:t>
            </w:r>
            <w:r>
              <w:rPr>
                <w:sz w:val="18"/>
              </w:rPr>
              <w:t>(aumento)</w:t>
            </w:r>
            <w:r>
              <w:rPr>
                <w:spacing w:val="-2"/>
                <w:sz w:val="18"/>
              </w:rPr>
              <w:t> </w:t>
            </w:r>
            <w:r>
              <w:rPr>
                <w:sz w:val="18"/>
              </w:rPr>
              <w:t>de</w:t>
            </w:r>
            <w:r>
              <w:rPr>
                <w:spacing w:val="-2"/>
                <w:sz w:val="18"/>
              </w:rPr>
              <w:t> ativos</w:t>
            </w:r>
          </w:p>
        </w:tc>
        <w:tc>
          <w:tcPr>
            <w:tcW w:w="1761" w:type="dxa"/>
          </w:tcPr>
          <w:p>
            <w:pPr>
              <w:pStyle w:val="TableParagraph"/>
              <w:rPr>
                <w:rFonts w:ascii="Times New Roman"/>
                <w:sz w:val="18"/>
              </w:rPr>
            </w:pPr>
          </w:p>
        </w:tc>
        <w:tc>
          <w:tcPr>
            <w:tcW w:w="1203" w:type="dxa"/>
          </w:tcPr>
          <w:p>
            <w:pPr>
              <w:pStyle w:val="TableParagraph"/>
              <w:rPr>
                <w:rFonts w:ascii="Times New Roman"/>
                <w:sz w:val="18"/>
              </w:rPr>
            </w:pPr>
          </w:p>
        </w:tc>
        <w:tc>
          <w:tcPr>
            <w:tcW w:w="1039" w:type="dxa"/>
          </w:tcPr>
          <w:p>
            <w:pPr>
              <w:pStyle w:val="TableParagraph"/>
              <w:rPr>
                <w:rFonts w:ascii="Times New Roman"/>
                <w:sz w:val="18"/>
              </w:rPr>
            </w:pPr>
          </w:p>
        </w:tc>
      </w:tr>
      <w:tr>
        <w:trPr>
          <w:trHeight w:val="270" w:hRule="atLeast"/>
        </w:trPr>
        <w:tc>
          <w:tcPr>
            <w:tcW w:w="6131" w:type="dxa"/>
          </w:tcPr>
          <w:p>
            <w:pPr>
              <w:pStyle w:val="TableParagraph"/>
              <w:spacing w:before="9"/>
              <w:ind w:left="50"/>
              <w:rPr>
                <w:sz w:val="18"/>
              </w:rPr>
            </w:pPr>
            <w:r>
              <w:rPr>
                <w:sz w:val="18"/>
              </w:rPr>
              <w:t>Contas a </w:t>
            </w:r>
            <w:r>
              <w:rPr>
                <w:spacing w:val="-2"/>
                <w:sz w:val="18"/>
              </w:rPr>
              <w:t>receber</w:t>
            </w:r>
          </w:p>
        </w:tc>
        <w:tc>
          <w:tcPr>
            <w:tcW w:w="1761" w:type="dxa"/>
          </w:tcPr>
          <w:p>
            <w:pPr>
              <w:pStyle w:val="TableParagraph"/>
              <w:rPr>
                <w:rFonts w:ascii="Times New Roman"/>
                <w:sz w:val="18"/>
              </w:rPr>
            </w:pPr>
          </w:p>
        </w:tc>
        <w:tc>
          <w:tcPr>
            <w:tcW w:w="1203" w:type="dxa"/>
          </w:tcPr>
          <w:p>
            <w:pPr>
              <w:pStyle w:val="TableParagraph"/>
              <w:spacing w:before="9"/>
              <w:ind w:right="176"/>
              <w:jc w:val="right"/>
              <w:rPr>
                <w:sz w:val="18"/>
              </w:rPr>
            </w:pPr>
            <w:r>
              <w:rPr>
                <w:spacing w:val="-5"/>
                <w:sz w:val="18"/>
              </w:rPr>
              <w:t>532</w:t>
            </w:r>
          </w:p>
        </w:tc>
        <w:tc>
          <w:tcPr>
            <w:tcW w:w="1039" w:type="dxa"/>
          </w:tcPr>
          <w:p>
            <w:pPr>
              <w:pStyle w:val="TableParagraph"/>
              <w:spacing w:before="9"/>
              <w:ind w:right="161"/>
              <w:jc w:val="right"/>
              <w:rPr>
                <w:sz w:val="18"/>
              </w:rPr>
            </w:pPr>
            <w:r>
              <w:rPr>
                <w:spacing w:val="-5"/>
                <w:sz w:val="18"/>
              </w:rPr>
              <w:t>677</w:t>
            </w:r>
          </w:p>
        </w:tc>
      </w:tr>
      <w:tr>
        <w:trPr>
          <w:trHeight w:val="270" w:hRule="atLeast"/>
        </w:trPr>
        <w:tc>
          <w:tcPr>
            <w:tcW w:w="6131" w:type="dxa"/>
          </w:tcPr>
          <w:p>
            <w:pPr>
              <w:pStyle w:val="TableParagraph"/>
              <w:spacing w:before="8"/>
              <w:ind w:left="50"/>
              <w:rPr>
                <w:sz w:val="18"/>
              </w:rPr>
            </w:pPr>
            <w:r>
              <w:rPr>
                <w:spacing w:val="-2"/>
                <w:sz w:val="18"/>
              </w:rPr>
              <w:t>Estoques</w:t>
            </w:r>
          </w:p>
        </w:tc>
        <w:tc>
          <w:tcPr>
            <w:tcW w:w="1761" w:type="dxa"/>
          </w:tcPr>
          <w:p>
            <w:pPr>
              <w:pStyle w:val="TableParagraph"/>
              <w:rPr>
                <w:rFonts w:ascii="Times New Roman"/>
                <w:sz w:val="18"/>
              </w:rPr>
            </w:pPr>
          </w:p>
        </w:tc>
        <w:tc>
          <w:tcPr>
            <w:tcW w:w="1203" w:type="dxa"/>
          </w:tcPr>
          <w:p>
            <w:pPr>
              <w:pStyle w:val="TableParagraph"/>
              <w:spacing w:before="8"/>
              <w:ind w:right="176"/>
              <w:jc w:val="right"/>
              <w:rPr>
                <w:sz w:val="18"/>
              </w:rPr>
            </w:pPr>
            <w:r>
              <w:rPr>
                <w:spacing w:val="-5"/>
                <w:sz w:val="18"/>
              </w:rPr>
              <w:t>202</w:t>
            </w:r>
          </w:p>
        </w:tc>
        <w:tc>
          <w:tcPr>
            <w:tcW w:w="1039" w:type="dxa"/>
          </w:tcPr>
          <w:p>
            <w:pPr>
              <w:pStyle w:val="TableParagraph"/>
              <w:spacing w:before="8"/>
              <w:ind w:right="161"/>
              <w:jc w:val="right"/>
              <w:rPr>
                <w:sz w:val="18"/>
              </w:rPr>
            </w:pPr>
            <w:r>
              <w:rPr>
                <w:spacing w:val="-2"/>
                <w:sz w:val="18"/>
              </w:rPr>
              <w:t>(917)</w:t>
            </w:r>
          </w:p>
        </w:tc>
      </w:tr>
      <w:tr>
        <w:trPr>
          <w:trHeight w:val="270" w:hRule="atLeast"/>
        </w:trPr>
        <w:tc>
          <w:tcPr>
            <w:tcW w:w="6131" w:type="dxa"/>
          </w:tcPr>
          <w:p>
            <w:pPr>
              <w:pStyle w:val="TableParagraph"/>
              <w:spacing w:before="9"/>
              <w:ind w:left="50"/>
              <w:rPr>
                <w:sz w:val="18"/>
              </w:rPr>
            </w:pPr>
            <w:r>
              <w:rPr>
                <w:sz w:val="18"/>
              </w:rPr>
              <w:t>Impostos e </w:t>
            </w:r>
            <w:r>
              <w:rPr>
                <w:spacing w:val="-2"/>
                <w:sz w:val="18"/>
              </w:rPr>
              <w:t>contribuições</w:t>
            </w:r>
          </w:p>
        </w:tc>
        <w:tc>
          <w:tcPr>
            <w:tcW w:w="1761" w:type="dxa"/>
          </w:tcPr>
          <w:p>
            <w:pPr>
              <w:pStyle w:val="TableParagraph"/>
              <w:rPr>
                <w:rFonts w:ascii="Times New Roman"/>
                <w:sz w:val="18"/>
              </w:rPr>
            </w:pPr>
          </w:p>
        </w:tc>
        <w:tc>
          <w:tcPr>
            <w:tcW w:w="1203" w:type="dxa"/>
          </w:tcPr>
          <w:p>
            <w:pPr>
              <w:pStyle w:val="TableParagraph"/>
              <w:spacing w:before="9"/>
              <w:ind w:right="174"/>
              <w:jc w:val="right"/>
              <w:rPr>
                <w:sz w:val="18"/>
              </w:rPr>
            </w:pPr>
            <w:r>
              <w:rPr>
                <w:spacing w:val="-2"/>
                <w:sz w:val="18"/>
              </w:rPr>
              <w:t>94.728</w:t>
            </w:r>
          </w:p>
        </w:tc>
        <w:tc>
          <w:tcPr>
            <w:tcW w:w="1039" w:type="dxa"/>
          </w:tcPr>
          <w:p>
            <w:pPr>
              <w:pStyle w:val="TableParagraph"/>
              <w:spacing w:before="9"/>
              <w:ind w:right="161"/>
              <w:jc w:val="right"/>
              <w:rPr>
                <w:sz w:val="18"/>
              </w:rPr>
            </w:pPr>
            <w:r>
              <w:rPr>
                <w:spacing w:val="-2"/>
                <w:sz w:val="18"/>
              </w:rPr>
              <w:t>1.002</w:t>
            </w:r>
          </w:p>
        </w:tc>
      </w:tr>
      <w:tr>
        <w:trPr>
          <w:trHeight w:val="380" w:hRule="atLeast"/>
        </w:trPr>
        <w:tc>
          <w:tcPr>
            <w:tcW w:w="6131" w:type="dxa"/>
          </w:tcPr>
          <w:p>
            <w:pPr>
              <w:pStyle w:val="TableParagraph"/>
              <w:spacing w:before="8"/>
              <w:ind w:left="50"/>
              <w:rPr>
                <w:sz w:val="18"/>
              </w:rPr>
            </w:pPr>
            <w:r>
              <w:rPr>
                <w:sz w:val="18"/>
              </w:rPr>
              <w:t>Outros</w:t>
            </w:r>
            <w:r>
              <w:rPr>
                <w:spacing w:val="-5"/>
                <w:sz w:val="18"/>
              </w:rPr>
              <w:t> </w:t>
            </w:r>
            <w:r>
              <w:rPr>
                <w:spacing w:val="-2"/>
                <w:sz w:val="18"/>
              </w:rPr>
              <w:t>ativos</w:t>
            </w:r>
          </w:p>
        </w:tc>
        <w:tc>
          <w:tcPr>
            <w:tcW w:w="1761" w:type="dxa"/>
          </w:tcPr>
          <w:p>
            <w:pPr>
              <w:pStyle w:val="TableParagraph"/>
              <w:rPr>
                <w:rFonts w:ascii="Times New Roman"/>
                <w:sz w:val="18"/>
              </w:rPr>
            </w:pPr>
          </w:p>
        </w:tc>
        <w:tc>
          <w:tcPr>
            <w:tcW w:w="1203" w:type="dxa"/>
          </w:tcPr>
          <w:p>
            <w:pPr>
              <w:pStyle w:val="TableParagraph"/>
              <w:spacing w:before="8"/>
              <w:ind w:right="173"/>
              <w:jc w:val="right"/>
              <w:rPr>
                <w:sz w:val="18"/>
              </w:rPr>
            </w:pPr>
            <w:r>
              <w:rPr>
                <w:spacing w:val="-2"/>
                <w:sz w:val="18"/>
              </w:rPr>
              <w:t>(1.612)</w:t>
            </w:r>
          </w:p>
        </w:tc>
        <w:tc>
          <w:tcPr>
            <w:tcW w:w="1039" w:type="dxa"/>
          </w:tcPr>
          <w:p>
            <w:pPr>
              <w:pStyle w:val="TableParagraph"/>
              <w:spacing w:before="8"/>
              <w:ind w:right="161"/>
              <w:jc w:val="right"/>
              <w:rPr>
                <w:sz w:val="18"/>
              </w:rPr>
            </w:pPr>
            <w:r>
              <w:rPr>
                <w:spacing w:val="-2"/>
                <w:sz w:val="18"/>
              </w:rPr>
              <w:t>5.492</w:t>
            </w:r>
          </w:p>
        </w:tc>
      </w:tr>
      <w:tr>
        <w:trPr>
          <w:trHeight w:val="381" w:hRule="atLeast"/>
        </w:trPr>
        <w:tc>
          <w:tcPr>
            <w:tcW w:w="6131" w:type="dxa"/>
          </w:tcPr>
          <w:p>
            <w:pPr>
              <w:pStyle w:val="TableParagraph"/>
              <w:spacing w:before="120"/>
              <w:ind w:left="50"/>
              <w:rPr>
                <w:sz w:val="18"/>
              </w:rPr>
            </w:pPr>
            <w:r>
              <w:rPr>
                <w:sz w:val="18"/>
              </w:rPr>
              <w:t>Aumento</w:t>
            </w:r>
            <w:r>
              <w:rPr>
                <w:spacing w:val="-1"/>
                <w:sz w:val="18"/>
              </w:rPr>
              <w:t> </w:t>
            </w:r>
            <w:r>
              <w:rPr>
                <w:sz w:val="18"/>
              </w:rPr>
              <w:t>(redução) de</w:t>
            </w:r>
            <w:r>
              <w:rPr>
                <w:spacing w:val="-1"/>
                <w:sz w:val="18"/>
              </w:rPr>
              <w:t> </w:t>
            </w:r>
            <w:r>
              <w:rPr>
                <w:spacing w:val="-2"/>
                <w:sz w:val="18"/>
              </w:rPr>
              <w:t>passivos</w:t>
            </w:r>
          </w:p>
        </w:tc>
        <w:tc>
          <w:tcPr>
            <w:tcW w:w="1761" w:type="dxa"/>
          </w:tcPr>
          <w:p>
            <w:pPr>
              <w:pStyle w:val="TableParagraph"/>
              <w:rPr>
                <w:rFonts w:ascii="Times New Roman"/>
                <w:sz w:val="18"/>
              </w:rPr>
            </w:pPr>
          </w:p>
        </w:tc>
        <w:tc>
          <w:tcPr>
            <w:tcW w:w="1203" w:type="dxa"/>
          </w:tcPr>
          <w:p>
            <w:pPr>
              <w:pStyle w:val="TableParagraph"/>
              <w:rPr>
                <w:rFonts w:ascii="Times New Roman"/>
                <w:sz w:val="18"/>
              </w:rPr>
            </w:pPr>
          </w:p>
        </w:tc>
        <w:tc>
          <w:tcPr>
            <w:tcW w:w="1039" w:type="dxa"/>
          </w:tcPr>
          <w:p>
            <w:pPr>
              <w:pStyle w:val="TableParagraph"/>
              <w:rPr>
                <w:rFonts w:ascii="Times New Roman"/>
                <w:sz w:val="18"/>
              </w:rPr>
            </w:pPr>
          </w:p>
        </w:tc>
      </w:tr>
      <w:tr>
        <w:trPr>
          <w:trHeight w:val="270" w:hRule="atLeast"/>
        </w:trPr>
        <w:tc>
          <w:tcPr>
            <w:tcW w:w="6131" w:type="dxa"/>
          </w:tcPr>
          <w:p>
            <w:pPr>
              <w:pStyle w:val="TableParagraph"/>
              <w:spacing w:before="8"/>
              <w:ind w:left="50"/>
              <w:rPr>
                <w:sz w:val="18"/>
              </w:rPr>
            </w:pPr>
            <w:r>
              <w:rPr>
                <w:spacing w:val="-2"/>
                <w:sz w:val="18"/>
              </w:rPr>
              <w:t>Fornecedores</w:t>
            </w:r>
          </w:p>
        </w:tc>
        <w:tc>
          <w:tcPr>
            <w:tcW w:w="1761" w:type="dxa"/>
          </w:tcPr>
          <w:p>
            <w:pPr>
              <w:pStyle w:val="TableParagraph"/>
              <w:rPr>
                <w:rFonts w:ascii="Times New Roman"/>
                <w:sz w:val="18"/>
              </w:rPr>
            </w:pPr>
          </w:p>
        </w:tc>
        <w:tc>
          <w:tcPr>
            <w:tcW w:w="1203" w:type="dxa"/>
          </w:tcPr>
          <w:p>
            <w:pPr>
              <w:pStyle w:val="TableParagraph"/>
              <w:spacing w:before="8"/>
              <w:ind w:right="175"/>
              <w:jc w:val="right"/>
              <w:rPr>
                <w:sz w:val="18"/>
              </w:rPr>
            </w:pPr>
            <w:r>
              <w:rPr>
                <w:spacing w:val="-2"/>
                <w:sz w:val="18"/>
              </w:rPr>
              <w:t>(901)</w:t>
            </w:r>
          </w:p>
        </w:tc>
        <w:tc>
          <w:tcPr>
            <w:tcW w:w="1039" w:type="dxa"/>
          </w:tcPr>
          <w:p>
            <w:pPr>
              <w:pStyle w:val="TableParagraph"/>
              <w:spacing w:before="8"/>
              <w:ind w:right="158"/>
              <w:jc w:val="right"/>
              <w:rPr>
                <w:sz w:val="18"/>
              </w:rPr>
            </w:pPr>
            <w:r>
              <w:rPr>
                <w:spacing w:val="-2"/>
                <w:sz w:val="18"/>
              </w:rPr>
              <w:t>(3.263)</w:t>
            </w:r>
          </w:p>
        </w:tc>
      </w:tr>
      <w:tr>
        <w:trPr>
          <w:trHeight w:val="270" w:hRule="atLeast"/>
        </w:trPr>
        <w:tc>
          <w:tcPr>
            <w:tcW w:w="6131" w:type="dxa"/>
          </w:tcPr>
          <w:p>
            <w:pPr>
              <w:pStyle w:val="TableParagraph"/>
              <w:spacing w:before="8"/>
              <w:ind w:left="50"/>
              <w:rPr>
                <w:sz w:val="18"/>
              </w:rPr>
            </w:pPr>
            <w:r>
              <w:rPr>
                <w:sz w:val="18"/>
              </w:rPr>
              <w:t>Impostos e </w:t>
            </w:r>
            <w:r>
              <w:rPr>
                <w:spacing w:val="-2"/>
                <w:sz w:val="18"/>
              </w:rPr>
              <w:t>contribuições</w:t>
            </w:r>
          </w:p>
        </w:tc>
        <w:tc>
          <w:tcPr>
            <w:tcW w:w="1761" w:type="dxa"/>
          </w:tcPr>
          <w:p>
            <w:pPr>
              <w:pStyle w:val="TableParagraph"/>
              <w:rPr>
                <w:rFonts w:ascii="Times New Roman"/>
                <w:sz w:val="18"/>
              </w:rPr>
            </w:pPr>
          </w:p>
        </w:tc>
        <w:tc>
          <w:tcPr>
            <w:tcW w:w="1203" w:type="dxa"/>
          </w:tcPr>
          <w:p>
            <w:pPr>
              <w:pStyle w:val="TableParagraph"/>
              <w:spacing w:before="8"/>
              <w:ind w:right="176"/>
              <w:jc w:val="right"/>
              <w:rPr>
                <w:sz w:val="18"/>
              </w:rPr>
            </w:pPr>
            <w:r>
              <w:rPr>
                <w:spacing w:val="-4"/>
                <w:sz w:val="18"/>
              </w:rPr>
              <w:t>(11)</w:t>
            </w:r>
          </w:p>
        </w:tc>
        <w:tc>
          <w:tcPr>
            <w:tcW w:w="1039" w:type="dxa"/>
          </w:tcPr>
          <w:p>
            <w:pPr>
              <w:pStyle w:val="TableParagraph"/>
              <w:spacing w:before="8"/>
              <w:ind w:right="161"/>
              <w:jc w:val="right"/>
              <w:rPr>
                <w:sz w:val="18"/>
              </w:rPr>
            </w:pPr>
            <w:r>
              <w:rPr>
                <w:spacing w:val="-5"/>
                <w:sz w:val="18"/>
              </w:rPr>
              <w:t>24</w:t>
            </w:r>
          </w:p>
        </w:tc>
      </w:tr>
      <w:tr>
        <w:trPr>
          <w:trHeight w:val="269" w:hRule="atLeast"/>
        </w:trPr>
        <w:tc>
          <w:tcPr>
            <w:tcW w:w="6131" w:type="dxa"/>
          </w:tcPr>
          <w:p>
            <w:pPr>
              <w:pStyle w:val="TableParagraph"/>
              <w:spacing w:before="8"/>
              <w:ind w:left="50"/>
              <w:rPr>
                <w:sz w:val="18"/>
              </w:rPr>
            </w:pPr>
            <w:r>
              <w:rPr>
                <w:sz w:val="18"/>
              </w:rPr>
              <w:t>Salários,</w:t>
            </w:r>
            <w:r>
              <w:rPr>
                <w:spacing w:val="-2"/>
                <w:sz w:val="18"/>
              </w:rPr>
              <w:t> </w:t>
            </w:r>
            <w:r>
              <w:rPr>
                <w:sz w:val="18"/>
              </w:rPr>
              <w:t>férias e </w:t>
            </w:r>
            <w:r>
              <w:rPr>
                <w:spacing w:val="-2"/>
                <w:sz w:val="18"/>
              </w:rPr>
              <w:t>encargos</w:t>
            </w:r>
          </w:p>
        </w:tc>
        <w:tc>
          <w:tcPr>
            <w:tcW w:w="1761" w:type="dxa"/>
          </w:tcPr>
          <w:p>
            <w:pPr>
              <w:pStyle w:val="TableParagraph"/>
              <w:rPr>
                <w:rFonts w:ascii="Times New Roman"/>
                <w:sz w:val="18"/>
              </w:rPr>
            </w:pPr>
          </w:p>
        </w:tc>
        <w:tc>
          <w:tcPr>
            <w:tcW w:w="1203" w:type="dxa"/>
          </w:tcPr>
          <w:p>
            <w:pPr>
              <w:pStyle w:val="TableParagraph"/>
              <w:spacing w:before="8"/>
              <w:ind w:right="172"/>
              <w:jc w:val="right"/>
              <w:rPr>
                <w:sz w:val="18"/>
              </w:rPr>
            </w:pPr>
            <w:r>
              <w:rPr>
                <w:spacing w:val="-5"/>
                <w:sz w:val="18"/>
              </w:rPr>
              <w:t>39</w:t>
            </w:r>
          </w:p>
        </w:tc>
        <w:tc>
          <w:tcPr>
            <w:tcW w:w="1039" w:type="dxa"/>
          </w:tcPr>
          <w:p>
            <w:pPr>
              <w:pStyle w:val="TableParagraph"/>
              <w:spacing w:before="8"/>
              <w:ind w:right="161"/>
              <w:jc w:val="right"/>
              <w:rPr>
                <w:sz w:val="18"/>
              </w:rPr>
            </w:pPr>
            <w:r>
              <w:rPr>
                <w:spacing w:val="-2"/>
                <w:sz w:val="18"/>
              </w:rPr>
              <w:t>(342)</w:t>
            </w:r>
          </w:p>
        </w:tc>
      </w:tr>
      <w:tr>
        <w:trPr>
          <w:trHeight w:val="270" w:hRule="atLeast"/>
        </w:trPr>
        <w:tc>
          <w:tcPr>
            <w:tcW w:w="6131" w:type="dxa"/>
          </w:tcPr>
          <w:p>
            <w:pPr>
              <w:pStyle w:val="TableParagraph"/>
              <w:spacing w:before="8"/>
              <w:ind w:left="50"/>
              <w:rPr>
                <w:sz w:val="18"/>
              </w:rPr>
            </w:pPr>
            <w:r>
              <w:rPr>
                <w:sz w:val="18"/>
              </w:rPr>
              <w:t>Obrigações</w:t>
            </w:r>
            <w:r>
              <w:rPr>
                <w:spacing w:val="-5"/>
                <w:sz w:val="18"/>
              </w:rPr>
              <w:t> </w:t>
            </w:r>
            <w:r>
              <w:rPr>
                <w:sz w:val="18"/>
              </w:rPr>
              <w:t>com</w:t>
            </w:r>
            <w:r>
              <w:rPr>
                <w:spacing w:val="-4"/>
                <w:sz w:val="18"/>
              </w:rPr>
              <w:t> </w:t>
            </w:r>
            <w:r>
              <w:rPr>
                <w:sz w:val="18"/>
              </w:rPr>
              <w:t>liquidação</w:t>
            </w:r>
            <w:r>
              <w:rPr>
                <w:spacing w:val="-4"/>
                <w:sz w:val="18"/>
              </w:rPr>
              <w:t> </w:t>
            </w:r>
            <w:r>
              <w:rPr>
                <w:sz w:val="18"/>
              </w:rPr>
              <w:t>de</w:t>
            </w:r>
            <w:r>
              <w:rPr>
                <w:spacing w:val="-4"/>
                <w:sz w:val="18"/>
              </w:rPr>
              <w:t> </w:t>
            </w:r>
            <w:r>
              <w:rPr>
                <w:sz w:val="18"/>
              </w:rPr>
              <w:t>planos</w:t>
            </w:r>
            <w:r>
              <w:rPr>
                <w:spacing w:val="-4"/>
                <w:sz w:val="18"/>
              </w:rPr>
              <w:t> </w:t>
            </w:r>
            <w:r>
              <w:rPr>
                <w:sz w:val="18"/>
              </w:rPr>
              <w:t>de</w:t>
            </w:r>
            <w:r>
              <w:rPr>
                <w:spacing w:val="-5"/>
                <w:sz w:val="18"/>
              </w:rPr>
              <w:t> </w:t>
            </w:r>
            <w:r>
              <w:rPr>
                <w:spacing w:val="-2"/>
                <w:sz w:val="18"/>
              </w:rPr>
              <w:t>pensão</w:t>
            </w:r>
          </w:p>
        </w:tc>
        <w:tc>
          <w:tcPr>
            <w:tcW w:w="1761" w:type="dxa"/>
          </w:tcPr>
          <w:p>
            <w:pPr>
              <w:pStyle w:val="TableParagraph"/>
              <w:spacing w:before="8"/>
              <w:ind w:right="230"/>
              <w:jc w:val="right"/>
              <w:rPr>
                <w:sz w:val="18"/>
              </w:rPr>
            </w:pPr>
            <w:r>
              <w:rPr>
                <w:spacing w:val="-4"/>
                <w:sz w:val="18"/>
              </w:rPr>
              <w:t>11.4</w:t>
            </w:r>
          </w:p>
        </w:tc>
        <w:tc>
          <w:tcPr>
            <w:tcW w:w="1203" w:type="dxa"/>
          </w:tcPr>
          <w:p>
            <w:pPr>
              <w:pStyle w:val="TableParagraph"/>
              <w:spacing w:before="8"/>
              <w:ind w:right="174"/>
              <w:jc w:val="right"/>
              <w:rPr>
                <w:sz w:val="18"/>
              </w:rPr>
            </w:pPr>
            <w:r>
              <w:rPr>
                <w:spacing w:val="-2"/>
                <w:sz w:val="18"/>
              </w:rPr>
              <w:t>(18.445)</w:t>
            </w:r>
          </w:p>
        </w:tc>
        <w:tc>
          <w:tcPr>
            <w:tcW w:w="1039" w:type="dxa"/>
          </w:tcPr>
          <w:p>
            <w:pPr>
              <w:pStyle w:val="TableParagraph"/>
              <w:spacing w:before="8"/>
              <w:ind w:right="161"/>
              <w:jc w:val="right"/>
              <w:rPr>
                <w:sz w:val="18"/>
              </w:rPr>
            </w:pPr>
            <w:r>
              <w:rPr>
                <w:spacing w:val="-10"/>
                <w:sz w:val="18"/>
              </w:rPr>
              <w:t>‐</w:t>
            </w:r>
          </w:p>
        </w:tc>
      </w:tr>
      <w:tr>
        <w:trPr>
          <w:trHeight w:val="224" w:hRule="atLeast"/>
        </w:trPr>
        <w:tc>
          <w:tcPr>
            <w:tcW w:w="6131" w:type="dxa"/>
          </w:tcPr>
          <w:p>
            <w:pPr>
              <w:pStyle w:val="TableParagraph"/>
              <w:spacing w:line="196" w:lineRule="exact" w:before="8"/>
              <w:ind w:left="50"/>
              <w:rPr>
                <w:sz w:val="18"/>
              </w:rPr>
            </w:pPr>
            <w:r>
              <w:rPr>
                <w:sz w:val="18"/>
              </w:rPr>
              <w:t>Encerramento</w:t>
            </w:r>
            <w:r>
              <w:rPr>
                <w:spacing w:val="-4"/>
                <w:sz w:val="18"/>
              </w:rPr>
              <w:t> </w:t>
            </w:r>
            <w:r>
              <w:rPr>
                <w:sz w:val="18"/>
              </w:rPr>
              <w:t>do</w:t>
            </w:r>
            <w:r>
              <w:rPr>
                <w:spacing w:val="-4"/>
                <w:sz w:val="18"/>
              </w:rPr>
              <w:t> </w:t>
            </w:r>
            <w:r>
              <w:rPr>
                <w:sz w:val="18"/>
              </w:rPr>
              <w:t>plano</w:t>
            </w:r>
            <w:r>
              <w:rPr>
                <w:spacing w:val="-4"/>
                <w:sz w:val="18"/>
              </w:rPr>
              <w:t> </w:t>
            </w:r>
            <w:r>
              <w:rPr>
                <w:sz w:val="18"/>
              </w:rPr>
              <w:t>de</w:t>
            </w:r>
            <w:r>
              <w:rPr>
                <w:spacing w:val="-3"/>
                <w:sz w:val="18"/>
              </w:rPr>
              <w:t> </w:t>
            </w:r>
            <w:r>
              <w:rPr>
                <w:spacing w:val="-2"/>
                <w:sz w:val="18"/>
              </w:rPr>
              <w:t>saúde</w:t>
            </w:r>
          </w:p>
        </w:tc>
        <w:tc>
          <w:tcPr>
            <w:tcW w:w="1761" w:type="dxa"/>
          </w:tcPr>
          <w:p>
            <w:pPr>
              <w:pStyle w:val="TableParagraph"/>
              <w:spacing w:line="196" w:lineRule="exact" w:before="8"/>
              <w:ind w:right="230"/>
              <w:jc w:val="right"/>
              <w:rPr>
                <w:sz w:val="18"/>
              </w:rPr>
            </w:pPr>
            <w:r>
              <w:rPr>
                <w:spacing w:val="-4"/>
                <w:sz w:val="18"/>
              </w:rPr>
              <w:t>11.4</w:t>
            </w:r>
          </w:p>
        </w:tc>
        <w:tc>
          <w:tcPr>
            <w:tcW w:w="1203" w:type="dxa"/>
          </w:tcPr>
          <w:p>
            <w:pPr>
              <w:pStyle w:val="TableParagraph"/>
              <w:spacing w:line="196" w:lineRule="exact" w:before="8"/>
              <w:ind w:right="173"/>
              <w:jc w:val="right"/>
              <w:rPr>
                <w:sz w:val="18"/>
              </w:rPr>
            </w:pPr>
            <w:r>
              <w:rPr>
                <w:spacing w:val="-2"/>
                <w:sz w:val="18"/>
              </w:rPr>
              <w:t>(1.354)</w:t>
            </w:r>
          </w:p>
        </w:tc>
        <w:tc>
          <w:tcPr>
            <w:tcW w:w="1039" w:type="dxa"/>
          </w:tcPr>
          <w:p>
            <w:pPr>
              <w:pStyle w:val="TableParagraph"/>
              <w:spacing w:line="196" w:lineRule="exact" w:before="8"/>
              <w:ind w:right="161"/>
              <w:jc w:val="right"/>
              <w:rPr>
                <w:sz w:val="18"/>
              </w:rPr>
            </w:pPr>
            <w:r>
              <w:rPr>
                <w:spacing w:val="-10"/>
                <w:sz w:val="18"/>
              </w:rPr>
              <w:t>‐</w:t>
            </w:r>
          </w:p>
        </w:tc>
      </w:tr>
      <w:tr>
        <w:trPr>
          <w:trHeight w:val="302" w:hRule="atLeast"/>
        </w:trPr>
        <w:tc>
          <w:tcPr>
            <w:tcW w:w="7892" w:type="dxa"/>
            <w:gridSpan w:val="2"/>
          </w:tcPr>
          <w:p>
            <w:pPr>
              <w:pStyle w:val="TableParagraph"/>
              <w:spacing w:before="53"/>
              <w:ind w:left="50"/>
              <w:rPr>
                <w:sz w:val="18"/>
              </w:rPr>
            </w:pPr>
            <w:r>
              <w:rPr>
                <w:sz w:val="18"/>
              </w:rPr>
              <w:t>Outros</w:t>
            </w:r>
            <w:r>
              <w:rPr>
                <w:spacing w:val="-5"/>
                <w:sz w:val="18"/>
              </w:rPr>
              <w:t> </w:t>
            </w:r>
            <w:r>
              <w:rPr>
                <w:spacing w:val="-2"/>
                <w:sz w:val="18"/>
              </w:rPr>
              <w:t>passivos</w:t>
            </w:r>
          </w:p>
        </w:tc>
        <w:tc>
          <w:tcPr>
            <w:tcW w:w="2242" w:type="dxa"/>
            <w:gridSpan w:val="2"/>
          </w:tcPr>
          <w:p>
            <w:pPr>
              <w:pStyle w:val="TableParagraph"/>
              <w:tabs>
                <w:tab w:pos="843" w:val="left" w:leader="none"/>
                <w:tab w:pos="1736" w:val="left" w:leader="none"/>
              </w:tabs>
              <w:spacing w:before="53"/>
              <w:ind w:left="33"/>
              <w:rPr>
                <w:sz w:val="18"/>
              </w:rPr>
            </w:pPr>
            <w:r>
              <w:rPr>
                <w:rFonts w:ascii="Times New Roman"/>
                <w:sz w:val="18"/>
                <w:u w:val="thick"/>
              </w:rPr>
              <w:tab/>
            </w:r>
            <w:r>
              <w:rPr>
                <w:spacing w:val="-5"/>
                <w:sz w:val="18"/>
                <w:u w:val="thick"/>
              </w:rPr>
              <w:t>22</w:t>
            </w:r>
            <w:r>
              <w:rPr>
                <w:sz w:val="18"/>
                <w:u w:val="thick"/>
              </w:rPr>
              <w:tab/>
            </w:r>
            <w:r>
              <w:rPr>
                <w:spacing w:val="-4"/>
                <w:sz w:val="18"/>
                <w:u w:val="thick"/>
              </w:rPr>
              <w:t>1.471</w:t>
            </w:r>
          </w:p>
        </w:tc>
      </w:tr>
      <w:tr>
        <w:trPr>
          <w:trHeight w:val="334" w:hRule="atLeast"/>
        </w:trPr>
        <w:tc>
          <w:tcPr>
            <w:tcW w:w="7892" w:type="dxa"/>
            <w:gridSpan w:val="2"/>
          </w:tcPr>
          <w:p>
            <w:pPr>
              <w:pStyle w:val="TableParagraph"/>
              <w:spacing w:before="21"/>
              <w:ind w:left="50"/>
              <w:rPr>
                <w:b/>
                <w:sz w:val="18"/>
              </w:rPr>
            </w:pPr>
            <w:r>
              <w:rPr>
                <w:b/>
                <w:sz w:val="18"/>
              </w:rPr>
              <w:t>Recursos</w:t>
            </w:r>
            <w:r>
              <w:rPr>
                <w:b/>
                <w:spacing w:val="-2"/>
                <w:sz w:val="18"/>
              </w:rPr>
              <w:t> </w:t>
            </w:r>
            <w:r>
              <w:rPr>
                <w:b/>
                <w:sz w:val="18"/>
              </w:rPr>
              <w:t>líquidos</w:t>
            </w:r>
            <w:r>
              <w:rPr>
                <w:b/>
                <w:spacing w:val="-3"/>
                <w:sz w:val="18"/>
              </w:rPr>
              <w:t> </w:t>
            </w:r>
            <w:r>
              <w:rPr>
                <w:b/>
                <w:sz w:val="18"/>
              </w:rPr>
              <w:t>gerados</w:t>
            </w:r>
            <w:r>
              <w:rPr>
                <w:b/>
                <w:spacing w:val="-4"/>
                <w:sz w:val="18"/>
              </w:rPr>
              <w:t> </w:t>
            </w:r>
            <w:r>
              <w:rPr>
                <w:b/>
                <w:sz w:val="18"/>
              </w:rPr>
              <w:t>pelas</w:t>
            </w:r>
            <w:r>
              <w:rPr>
                <w:b/>
                <w:spacing w:val="-3"/>
                <w:sz w:val="18"/>
              </w:rPr>
              <w:t> </w:t>
            </w:r>
            <w:r>
              <w:rPr>
                <w:b/>
                <w:sz w:val="18"/>
              </w:rPr>
              <w:t>(utilizados</w:t>
            </w:r>
            <w:r>
              <w:rPr>
                <w:b/>
                <w:spacing w:val="-3"/>
                <w:sz w:val="18"/>
              </w:rPr>
              <w:t> </w:t>
            </w:r>
            <w:r>
              <w:rPr>
                <w:b/>
                <w:sz w:val="18"/>
              </w:rPr>
              <w:t>nas)</w:t>
            </w:r>
            <w:r>
              <w:rPr>
                <w:b/>
                <w:spacing w:val="-3"/>
                <w:sz w:val="18"/>
              </w:rPr>
              <w:t> </w:t>
            </w:r>
            <w:r>
              <w:rPr>
                <w:b/>
                <w:sz w:val="18"/>
              </w:rPr>
              <w:t>atividades</w:t>
            </w:r>
            <w:r>
              <w:rPr>
                <w:b/>
                <w:spacing w:val="-2"/>
                <w:sz w:val="18"/>
              </w:rPr>
              <w:t> operacionais</w:t>
            </w:r>
          </w:p>
        </w:tc>
        <w:tc>
          <w:tcPr>
            <w:tcW w:w="2242" w:type="dxa"/>
            <w:gridSpan w:val="2"/>
          </w:tcPr>
          <w:p>
            <w:pPr>
              <w:pStyle w:val="TableParagraph"/>
              <w:tabs>
                <w:tab w:pos="523" w:val="left" w:leader="none"/>
                <w:tab w:pos="1534" w:val="left" w:leader="none"/>
              </w:tabs>
              <w:spacing w:before="21"/>
              <w:ind w:left="33"/>
              <w:rPr>
                <w:sz w:val="18"/>
              </w:rPr>
            </w:pPr>
            <w:r>
              <w:rPr>
                <w:rFonts w:ascii="Times New Roman"/>
                <w:sz w:val="18"/>
                <w:u w:val="thick"/>
              </w:rPr>
              <w:tab/>
            </w:r>
            <w:r>
              <w:rPr>
                <w:spacing w:val="-2"/>
                <w:sz w:val="18"/>
                <w:u w:val="thick"/>
              </w:rPr>
              <w:t>63.203</w:t>
            </w:r>
            <w:r>
              <w:rPr>
                <w:sz w:val="18"/>
                <w:u w:val="thick"/>
              </w:rPr>
              <w:tab/>
            </w:r>
            <w:r>
              <w:rPr>
                <w:spacing w:val="-2"/>
                <w:sz w:val="18"/>
                <w:u w:val="thick"/>
              </w:rPr>
              <w:t>(25.325)</w:t>
            </w:r>
          </w:p>
        </w:tc>
      </w:tr>
      <w:tr>
        <w:trPr>
          <w:trHeight w:val="556" w:hRule="atLeast"/>
        </w:trPr>
        <w:tc>
          <w:tcPr>
            <w:tcW w:w="7892" w:type="dxa"/>
            <w:gridSpan w:val="2"/>
          </w:tcPr>
          <w:p>
            <w:pPr>
              <w:pStyle w:val="TableParagraph"/>
              <w:spacing w:before="61"/>
              <w:ind w:left="50"/>
              <w:rPr>
                <w:b/>
                <w:sz w:val="18"/>
              </w:rPr>
            </w:pPr>
            <w:r>
              <w:rPr>
                <w:b/>
                <w:sz w:val="18"/>
              </w:rPr>
              <w:t>Fluxo</w:t>
            </w:r>
            <w:r>
              <w:rPr>
                <w:b/>
                <w:spacing w:val="-2"/>
                <w:sz w:val="18"/>
              </w:rPr>
              <w:t> </w:t>
            </w:r>
            <w:r>
              <w:rPr>
                <w:b/>
                <w:sz w:val="18"/>
              </w:rPr>
              <w:t>de</w:t>
            </w:r>
            <w:r>
              <w:rPr>
                <w:b/>
                <w:spacing w:val="-1"/>
                <w:sz w:val="18"/>
              </w:rPr>
              <w:t> </w:t>
            </w:r>
            <w:r>
              <w:rPr>
                <w:b/>
                <w:sz w:val="18"/>
              </w:rPr>
              <w:t>caixa</w:t>
            </w:r>
            <w:r>
              <w:rPr>
                <w:b/>
                <w:spacing w:val="-1"/>
                <w:sz w:val="18"/>
              </w:rPr>
              <w:t> </w:t>
            </w:r>
            <w:r>
              <w:rPr>
                <w:b/>
                <w:sz w:val="18"/>
              </w:rPr>
              <w:t>das</w:t>
            </w:r>
            <w:r>
              <w:rPr>
                <w:b/>
                <w:spacing w:val="-1"/>
                <w:sz w:val="18"/>
              </w:rPr>
              <w:t> </w:t>
            </w:r>
            <w:r>
              <w:rPr>
                <w:b/>
                <w:sz w:val="18"/>
              </w:rPr>
              <w:t>atividades</w:t>
            </w:r>
            <w:r>
              <w:rPr>
                <w:b/>
                <w:spacing w:val="-2"/>
                <w:sz w:val="18"/>
              </w:rPr>
              <w:t> </w:t>
            </w:r>
            <w:r>
              <w:rPr>
                <w:b/>
                <w:sz w:val="18"/>
              </w:rPr>
              <w:t>de</w:t>
            </w:r>
            <w:r>
              <w:rPr>
                <w:b/>
                <w:spacing w:val="-1"/>
                <w:sz w:val="18"/>
              </w:rPr>
              <w:t> </w:t>
            </w:r>
            <w:r>
              <w:rPr>
                <w:b/>
                <w:spacing w:val="-2"/>
                <w:sz w:val="18"/>
              </w:rPr>
              <w:t>investimentos</w:t>
            </w:r>
          </w:p>
          <w:p>
            <w:pPr>
              <w:pStyle w:val="TableParagraph"/>
              <w:spacing w:before="34"/>
              <w:ind w:left="50"/>
              <w:rPr>
                <w:sz w:val="18"/>
              </w:rPr>
            </w:pPr>
            <w:r>
              <w:rPr>
                <w:sz w:val="18"/>
              </w:rPr>
              <w:t>(Aplicação)</w:t>
            </w:r>
            <w:r>
              <w:rPr>
                <w:spacing w:val="-6"/>
                <w:sz w:val="18"/>
              </w:rPr>
              <w:t> </w:t>
            </w:r>
            <w:r>
              <w:rPr>
                <w:sz w:val="18"/>
              </w:rPr>
              <w:t>resgate</w:t>
            </w:r>
            <w:r>
              <w:rPr>
                <w:spacing w:val="-4"/>
                <w:sz w:val="18"/>
              </w:rPr>
              <w:t> </w:t>
            </w:r>
            <w:r>
              <w:rPr>
                <w:sz w:val="18"/>
              </w:rPr>
              <w:t>em</w:t>
            </w:r>
            <w:r>
              <w:rPr>
                <w:spacing w:val="-4"/>
                <w:sz w:val="18"/>
              </w:rPr>
              <w:t> </w:t>
            </w:r>
            <w:r>
              <w:rPr>
                <w:sz w:val="18"/>
              </w:rPr>
              <w:t>recebíveis</w:t>
            </w:r>
            <w:r>
              <w:rPr>
                <w:spacing w:val="-3"/>
                <w:sz w:val="18"/>
              </w:rPr>
              <w:t> </w:t>
            </w:r>
            <w:r>
              <w:rPr>
                <w:sz w:val="18"/>
              </w:rPr>
              <w:t>de</w:t>
            </w:r>
            <w:r>
              <w:rPr>
                <w:spacing w:val="-4"/>
                <w:sz w:val="18"/>
              </w:rPr>
              <w:t> </w:t>
            </w:r>
            <w:r>
              <w:rPr>
                <w:sz w:val="18"/>
              </w:rPr>
              <w:t>ativos</w:t>
            </w:r>
            <w:r>
              <w:rPr>
                <w:spacing w:val="-4"/>
                <w:sz w:val="18"/>
              </w:rPr>
              <w:t> </w:t>
            </w:r>
            <w:r>
              <w:rPr>
                <w:spacing w:val="-2"/>
                <w:sz w:val="18"/>
              </w:rPr>
              <w:t>financeiros</w:t>
            </w:r>
          </w:p>
        </w:tc>
        <w:tc>
          <w:tcPr>
            <w:tcW w:w="2242" w:type="dxa"/>
            <w:gridSpan w:val="2"/>
          </w:tcPr>
          <w:p>
            <w:pPr>
              <w:pStyle w:val="TableParagraph"/>
              <w:spacing w:before="95"/>
              <w:rPr>
                <w:b/>
                <w:sz w:val="18"/>
              </w:rPr>
            </w:pPr>
          </w:p>
          <w:p>
            <w:pPr>
              <w:pStyle w:val="TableParagraph"/>
              <w:tabs>
                <w:tab w:pos="415" w:val="left" w:leader="none"/>
                <w:tab w:pos="1645" w:val="left" w:leader="none"/>
              </w:tabs>
              <w:ind w:left="20"/>
              <w:rPr>
                <w:sz w:val="18"/>
              </w:rPr>
            </w:pPr>
            <w:r>
              <w:rPr>
                <w:rFonts w:ascii="Times New Roman"/>
                <w:sz w:val="18"/>
                <w:u w:val="thick"/>
              </w:rPr>
              <w:tab/>
            </w:r>
            <w:r>
              <w:rPr>
                <w:spacing w:val="-2"/>
                <w:sz w:val="18"/>
                <w:u w:val="thick"/>
              </w:rPr>
              <w:t>(27.798)</w:t>
            </w:r>
            <w:r>
              <w:rPr>
                <w:sz w:val="18"/>
                <w:u w:val="thick"/>
              </w:rPr>
              <w:tab/>
            </w:r>
            <w:r>
              <w:rPr>
                <w:spacing w:val="-2"/>
                <w:sz w:val="18"/>
                <w:u w:val="thick"/>
              </w:rPr>
              <w:t>24.888</w:t>
            </w:r>
          </w:p>
        </w:tc>
      </w:tr>
      <w:tr>
        <w:trPr>
          <w:trHeight w:val="297" w:hRule="atLeast"/>
        </w:trPr>
        <w:tc>
          <w:tcPr>
            <w:tcW w:w="7892" w:type="dxa"/>
            <w:gridSpan w:val="2"/>
          </w:tcPr>
          <w:p>
            <w:pPr>
              <w:pStyle w:val="TableParagraph"/>
              <w:spacing w:before="14"/>
              <w:ind w:left="50"/>
              <w:rPr>
                <w:b/>
                <w:sz w:val="18"/>
              </w:rPr>
            </w:pPr>
            <w:r>
              <w:rPr>
                <w:b/>
                <w:sz w:val="18"/>
              </w:rPr>
              <w:t>Recursos</w:t>
            </w:r>
            <w:r>
              <w:rPr>
                <w:b/>
                <w:spacing w:val="-3"/>
                <w:sz w:val="18"/>
              </w:rPr>
              <w:t> </w:t>
            </w:r>
            <w:r>
              <w:rPr>
                <w:b/>
                <w:sz w:val="18"/>
              </w:rPr>
              <w:t>líquidos</w:t>
            </w:r>
            <w:r>
              <w:rPr>
                <w:b/>
                <w:spacing w:val="-4"/>
                <w:sz w:val="18"/>
              </w:rPr>
              <w:t> </w:t>
            </w:r>
            <w:r>
              <w:rPr>
                <w:b/>
                <w:sz w:val="18"/>
              </w:rPr>
              <w:t>gerados(utilizados)</w:t>
            </w:r>
            <w:r>
              <w:rPr>
                <w:b/>
                <w:spacing w:val="-4"/>
                <w:sz w:val="18"/>
              </w:rPr>
              <w:t> </w:t>
            </w:r>
            <w:r>
              <w:rPr>
                <w:b/>
                <w:sz w:val="18"/>
              </w:rPr>
              <w:t>nas</w:t>
            </w:r>
            <w:r>
              <w:rPr>
                <w:b/>
                <w:spacing w:val="-3"/>
                <w:sz w:val="18"/>
              </w:rPr>
              <w:t> </w:t>
            </w:r>
            <w:r>
              <w:rPr>
                <w:b/>
                <w:sz w:val="18"/>
              </w:rPr>
              <w:t>atividades</w:t>
            </w:r>
            <w:r>
              <w:rPr>
                <w:b/>
                <w:spacing w:val="-5"/>
                <w:sz w:val="18"/>
              </w:rPr>
              <w:t> </w:t>
            </w:r>
            <w:r>
              <w:rPr>
                <w:b/>
                <w:sz w:val="18"/>
              </w:rPr>
              <w:t>de</w:t>
            </w:r>
            <w:r>
              <w:rPr>
                <w:b/>
                <w:spacing w:val="-3"/>
                <w:sz w:val="18"/>
              </w:rPr>
              <w:t> </w:t>
            </w:r>
            <w:r>
              <w:rPr>
                <w:b/>
                <w:spacing w:val="-2"/>
                <w:sz w:val="18"/>
              </w:rPr>
              <w:t>investimentos</w:t>
            </w:r>
          </w:p>
        </w:tc>
        <w:tc>
          <w:tcPr>
            <w:tcW w:w="2242" w:type="dxa"/>
            <w:gridSpan w:val="2"/>
          </w:tcPr>
          <w:p>
            <w:pPr>
              <w:pStyle w:val="TableParagraph"/>
              <w:tabs>
                <w:tab w:pos="415" w:val="left" w:leader="none"/>
                <w:tab w:pos="1645" w:val="left" w:leader="none"/>
              </w:tabs>
              <w:spacing w:before="14"/>
              <w:ind w:left="33"/>
              <w:rPr>
                <w:sz w:val="18"/>
              </w:rPr>
            </w:pPr>
            <w:r>
              <w:rPr>
                <w:rFonts w:ascii="Times New Roman"/>
                <w:sz w:val="18"/>
                <w:u w:val="thick"/>
              </w:rPr>
              <w:tab/>
            </w:r>
            <w:r>
              <w:rPr>
                <w:spacing w:val="-2"/>
                <w:sz w:val="18"/>
                <w:u w:val="thick"/>
              </w:rPr>
              <w:t>(27.798)</w:t>
            </w:r>
            <w:r>
              <w:rPr>
                <w:sz w:val="18"/>
                <w:u w:val="thick"/>
              </w:rPr>
              <w:tab/>
            </w:r>
            <w:r>
              <w:rPr>
                <w:spacing w:val="-2"/>
                <w:sz w:val="18"/>
                <w:u w:val="thick"/>
              </w:rPr>
              <w:t>24.888</w:t>
            </w:r>
            <w:r>
              <w:rPr>
                <w:spacing w:val="40"/>
                <w:sz w:val="18"/>
                <w:u w:val="thick"/>
              </w:rPr>
              <w:t> </w:t>
            </w:r>
          </w:p>
        </w:tc>
      </w:tr>
      <w:tr>
        <w:trPr>
          <w:trHeight w:val="524" w:hRule="atLeast"/>
        </w:trPr>
        <w:tc>
          <w:tcPr>
            <w:tcW w:w="7892" w:type="dxa"/>
            <w:gridSpan w:val="2"/>
          </w:tcPr>
          <w:p>
            <w:pPr>
              <w:pStyle w:val="TableParagraph"/>
              <w:spacing w:before="31"/>
              <w:ind w:left="50"/>
              <w:rPr>
                <w:b/>
                <w:sz w:val="18"/>
              </w:rPr>
            </w:pPr>
            <w:r>
              <w:rPr>
                <w:b/>
                <w:sz w:val="18"/>
              </w:rPr>
              <w:t>Fluxo</w:t>
            </w:r>
            <w:r>
              <w:rPr>
                <w:b/>
                <w:spacing w:val="-4"/>
                <w:sz w:val="18"/>
              </w:rPr>
              <w:t> </w:t>
            </w:r>
            <w:r>
              <w:rPr>
                <w:b/>
                <w:sz w:val="18"/>
              </w:rPr>
              <w:t>de</w:t>
            </w:r>
            <w:r>
              <w:rPr>
                <w:b/>
                <w:spacing w:val="-1"/>
                <w:sz w:val="18"/>
              </w:rPr>
              <w:t> </w:t>
            </w:r>
            <w:r>
              <w:rPr>
                <w:b/>
                <w:sz w:val="18"/>
              </w:rPr>
              <w:t>caixa</w:t>
            </w:r>
            <w:r>
              <w:rPr>
                <w:b/>
                <w:spacing w:val="-1"/>
                <w:sz w:val="18"/>
              </w:rPr>
              <w:t> </w:t>
            </w:r>
            <w:r>
              <w:rPr>
                <w:b/>
                <w:sz w:val="18"/>
              </w:rPr>
              <w:t>das</w:t>
            </w:r>
            <w:r>
              <w:rPr>
                <w:b/>
                <w:spacing w:val="-1"/>
                <w:sz w:val="18"/>
              </w:rPr>
              <w:t> </w:t>
            </w:r>
            <w:r>
              <w:rPr>
                <w:b/>
                <w:sz w:val="18"/>
              </w:rPr>
              <w:t>atividades</w:t>
            </w:r>
            <w:r>
              <w:rPr>
                <w:b/>
                <w:spacing w:val="-2"/>
                <w:sz w:val="18"/>
              </w:rPr>
              <w:t> </w:t>
            </w:r>
            <w:r>
              <w:rPr>
                <w:b/>
                <w:sz w:val="18"/>
              </w:rPr>
              <w:t>de</w:t>
            </w:r>
            <w:r>
              <w:rPr>
                <w:b/>
                <w:spacing w:val="-1"/>
                <w:sz w:val="18"/>
              </w:rPr>
              <w:t> </w:t>
            </w:r>
            <w:r>
              <w:rPr>
                <w:b/>
                <w:spacing w:val="-2"/>
                <w:sz w:val="18"/>
              </w:rPr>
              <w:t>financiamentos</w:t>
            </w:r>
          </w:p>
          <w:p>
            <w:pPr>
              <w:pStyle w:val="TableParagraph"/>
              <w:spacing w:before="33"/>
              <w:ind w:left="50"/>
              <w:rPr>
                <w:sz w:val="18"/>
              </w:rPr>
            </w:pPr>
            <w:r>
              <w:rPr>
                <w:sz w:val="18"/>
              </w:rPr>
              <w:t>Redução</w:t>
            </w:r>
            <w:r>
              <w:rPr>
                <w:spacing w:val="-3"/>
                <w:sz w:val="18"/>
              </w:rPr>
              <w:t> </w:t>
            </w:r>
            <w:r>
              <w:rPr>
                <w:sz w:val="18"/>
              </w:rPr>
              <w:t>de</w:t>
            </w:r>
            <w:r>
              <w:rPr>
                <w:spacing w:val="-3"/>
                <w:sz w:val="18"/>
              </w:rPr>
              <w:t> </w:t>
            </w:r>
            <w:r>
              <w:rPr>
                <w:spacing w:val="-2"/>
                <w:sz w:val="18"/>
              </w:rPr>
              <w:t>capital</w:t>
            </w:r>
          </w:p>
        </w:tc>
        <w:tc>
          <w:tcPr>
            <w:tcW w:w="2242" w:type="dxa"/>
            <w:gridSpan w:val="2"/>
          </w:tcPr>
          <w:p>
            <w:pPr>
              <w:pStyle w:val="TableParagraph"/>
              <w:spacing w:before="64"/>
              <w:rPr>
                <w:b/>
                <w:sz w:val="18"/>
              </w:rPr>
            </w:pPr>
          </w:p>
          <w:p>
            <w:pPr>
              <w:pStyle w:val="TableParagraph"/>
              <w:tabs>
                <w:tab w:pos="415" w:val="left" w:leader="none"/>
                <w:tab w:pos="2091" w:val="left" w:leader="none"/>
              </w:tabs>
              <w:ind w:left="22"/>
              <w:rPr>
                <w:sz w:val="18"/>
              </w:rPr>
            </w:pPr>
            <w:r>
              <w:rPr>
                <w:rFonts w:ascii="Times New Roman" w:hAnsi="Times New Roman"/>
                <w:sz w:val="18"/>
                <w:u w:val="thick"/>
              </w:rPr>
              <w:tab/>
            </w:r>
            <w:r>
              <w:rPr>
                <w:spacing w:val="-2"/>
                <w:sz w:val="18"/>
                <w:u w:val="thick"/>
              </w:rPr>
              <w:t>(35.330)</w:t>
            </w:r>
            <w:r>
              <w:rPr>
                <w:sz w:val="18"/>
                <w:u w:val="thick"/>
              </w:rPr>
              <w:tab/>
            </w:r>
            <w:r>
              <w:rPr>
                <w:spacing w:val="-10"/>
                <w:sz w:val="18"/>
                <w:u w:val="thick"/>
              </w:rPr>
              <w:t>‐</w:t>
            </w:r>
          </w:p>
        </w:tc>
      </w:tr>
      <w:tr>
        <w:trPr>
          <w:trHeight w:val="507" w:hRule="atLeast"/>
        </w:trPr>
        <w:tc>
          <w:tcPr>
            <w:tcW w:w="7892" w:type="dxa"/>
            <w:gridSpan w:val="2"/>
          </w:tcPr>
          <w:p>
            <w:pPr>
              <w:pStyle w:val="TableParagraph"/>
              <w:spacing w:before="13"/>
              <w:ind w:left="50"/>
              <w:rPr>
                <w:b/>
                <w:sz w:val="18"/>
              </w:rPr>
            </w:pPr>
            <w:r>
              <w:rPr>
                <w:b/>
                <w:sz w:val="18"/>
              </w:rPr>
              <w:t>Recursos</w:t>
            </w:r>
            <w:r>
              <w:rPr>
                <w:b/>
                <w:spacing w:val="-3"/>
                <w:sz w:val="18"/>
              </w:rPr>
              <w:t> </w:t>
            </w:r>
            <w:r>
              <w:rPr>
                <w:b/>
                <w:sz w:val="18"/>
              </w:rPr>
              <w:t>líquidos</w:t>
            </w:r>
            <w:r>
              <w:rPr>
                <w:b/>
                <w:spacing w:val="-4"/>
                <w:sz w:val="18"/>
              </w:rPr>
              <w:t> </w:t>
            </w:r>
            <w:r>
              <w:rPr>
                <w:b/>
                <w:sz w:val="18"/>
              </w:rPr>
              <w:t>utilizados</w:t>
            </w:r>
            <w:r>
              <w:rPr>
                <w:b/>
                <w:spacing w:val="-3"/>
                <w:sz w:val="18"/>
              </w:rPr>
              <w:t> </w:t>
            </w:r>
            <w:r>
              <w:rPr>
                <w:b/>
                <w:sz w:val="18"/>
              </w:rPr>
              <w:t>pelas</w:t>
            </w:r>
            <w:r>
              <w:rPr>
                <w:b/>
                <w:spacing w:val="-3"/>
                <w:sz w:val="18"/>
              </w:rPr>
              <w:t> </w:t>
            </w:r>
            <w:r>
              <w:rPr>
                <w:b/>
                <w:sz w:val="18"/>
              </w:rPr>
              <w:t>atividades</w:t>
            </w:r>
            <w:r>
              <w:rPr>
                <w:b/>
                <w:spacing w:val="-4"/>
                <w:sz w:val="18"/>
              </w:rPr>
              <w:t> </w:t>
            </w:r>
            <w:r>
              <w:rPr>
                <w:b/>
                <w:sz w:val="18"/>
              </w:rPr>
              <w:t>de</w:t>
            </w:r>
            <w:r>
              <w:rPr>
                <w:b/>
                <w:spacing w:val="-3"/>
                <w:sz w:val="18"/>
              </w:rPr>
              <w:t> </w:t>
            </w:r>
            <w:r>
              <w:rPr>
                <w:b/>
                <w:spacing w:val="-2"/>
                <w:sz w:val="18"/>
              </w:rPr>
              <w:t>financiamentos</w:t>
            </w:r>
          </w:p>
        </w:tc>
        <w:tc>
          <w:tcPr>
            <w:tcW w:w="2242" w:type="dxa"/>
            <w:gridSpan w:val="2"/>
          </w:tcPr>
          <w:p>
            <w:pPr>
              <w:pStyle w:val="TableParagraph"/>
              <w:tabs>
                <w:tab w:pos="415" w:val="left" w:leader="none"/>
                <w:tab w:pos="2091" w:val="left" w:leader="none"/>
              </w:tabs>
              <w:spacing w:before="13"/>
              <w:ind w:left="33"/>
              <w:rPr>
                <w:sz w:val="18"/>
              </w:rPr>
            </w:pPr>
            <w:r>
              <w:rPr>
                <w:rFonts w:ascii="Times New Roman" w:hAnsi="Times New Roman"/>
                <w:sz w:val="18"/>
                <w:u w:val="thick"/>
              </w:rPr>
              <w:tab/>
            </w:r>
            <w:r>
              <w:rPr>
                <w:spacing w:val="-2"/>
                <w:sz w:val="18"/>
                <w:u w:val="thick"/>
              </w:rPr>
              <w:t>(35.330)</w:t>
            </w:r>
            <w:r>
              <w:rPr>
                <w:sz w:val="18"/>
                <w:u w:val="thick"/>
              </w:rPr>
              <w:tab/>
            </w:r>
            <w:r>
              <w:rPr>
                <w:spacing w:val="-10"/>
                <w:sz w:val="18"/>
                <w:u w:val="thick"/>
              </w:rPr>
              <w:t>‐</w:t>
            </w:r>
          </w:p>
        </w:tc>
      </w:tr>
      <w:tr>
        <w:trPr>
          <w:trHeight w:val="260" w:hRule="atLeast"/>
        </w:trPr>
        <w:tc>
          <w:tcPr>
            <w:tcW w:w="7892" w:type="dxa"/>
            <w:gridSpan w:val="2"/>
          </w:tcPr>
          <w:p>
            <w:pPr>
              <w:pStyle w:val="TableParagraph"/>
              <w:spacing w:line="196" w:lineRule="exact" w:before="44"/>
              <w:ind w:left="50"/>
              <w:rPr>
                <w:b/>
                <w:sz w:val="18"/>
              </w:rPr>
            </w:pPr>
            <w:r>
              <w:rPr>
                <w:b/>
                <w:sz w:val="18"/>
              </w:rPr>
              <w:t>Aumento</w:t>
            </w:r>
            <w:r>
              <w:rPr>
                <w:b/>
                <w:spacing w:val="-2"/>
                <w:sz w:val="18"/>
              </w:rPr>
              <w:t> </w:t>
            </w:r>
            <w:r>
              <w:rPr>
                <w:b/>
                <w:sz w:val="18"/>
              </w:rPr>
              <w:t>(redução)</w:t>
            </w:r>
            <w:r>
              <w:rPr>
                <w:b/>
                <w:spacing w:val="-1"/>
                <w:sz w:val="18"/>
              </w:rPr>
              <w:t> </w:t>
            </w:r>
            <w:r>
              <w:rPr>
                <w:b/>
                <w:sz w:val="18"/>
              </w:rPr>
              <w:t>de</w:t>
            </w:r>
            <w:r>
              <w:rPr>
                <w:b/>
                <w:spacing w:val="-1"/>
                <w:sz w:val="18"/>
              </w:rPr>
              <w:t> </w:t>
            </w:r>
            <w:r>
              <w:rPr>
                <w:b/>
                <w:sz w:val="18"/>
              </w:rPr>
              <w:t>caixa</w:t>
            </w:r>
            <w:r>
              <w:rPr>
                <w:b/>
                <w:spacing w:val="-3"/>
                <w:sz w:val="18"/>
              </w:rPr>
              <w:t> </w:t>
            </w:r>
            <w:r>
              <w:rPr>
                <w:b/>
                <w:sz w:val="18"/>
              </w:rPr>
              <w:t>e</w:t>
            </w:r>
            <w:r>
              <w:rPr>
                <w:b/>
                <w:spacing w:val="-2"/>
                <w:sz w:val="18"/>
              </w:rPr>
              <w:t> </w:t>
            </w:r>
            <w:r>
              <w:rPr>
                <w:b/>
                <w:sz w:val="18"/>
              </w:rPr>
              <w:t>equivalentes</w:t>
            </w:r>
            <w:r>
              <w:rPr>
                <w:b/>
                <w:spacing w:val="-3"/>
                <w:sz w:val="18"/>
              </w:rPr>
              <w:t> </w:t>
            </w:r>
            <w:r>
              <w:rPr>
                <w:b/>
                <w:sz w:val="18"/>
              </w:rPr>
              <w:t>de</w:t>
            </w:r>
            <w:r>
              <w:rPr>
                <w:b/>
                <w:spacing w:val="-1"/>
                <w:sz w:val="18"/>
              </w:rPr>
              <w:t> </w:t>
            </w:r>
            <w:r>
              <w:rPr>
                <w:b/>
                <w:sz w:val="18"/>
              </w:rPr>
              <w:t>caixa</w:t>
            </w:r>
            <w:r>
              <w:rPr>
                <w:b/>
                <w:spacing w:val="-2"/>
                <w:sz w:val="18"/>
              </w:rPr>
              <w:t> </w:t>
            </w:r>
            <w:r>
              <w:rPr>
                <w:b/>
                <w:sz w:val="18"/>
              </w:rPr>
              <w:t>no</w:t>
            </w:r>
            <w:r>
              <w:rPr>
                <w:b/>
                <w:spacing w:val="-2"/>
                <w:sz w:val="18"/>
              </w:rPr>
              <w:t> exercício</w:t>
            </w:r>
          </w:p>
        </w:tc>
        <w:tc>
          <w:tcPr>
            <w:tcW w:w="2242" w:type="dxa"/>
            <w:gridSpan w:val="2"/>
          </w:tcPr>
          <w:p>
            <w:pPr>
              <w:pStyle w:val="TableParagraph"/>
              <w:spacing w:line="20" w:lineRule="exact"/>
              <w:ind w:left="33"/>
              <w:rPr>
                <w:sz w:val="2"/>
              </w:rPr>
            </w:pPr>
            <w:r>
              <w:rPr>
                <w:sz w:val="2"/>
              </w:rPr>
              <mc:AlternateContent>
                <mc:Choice Requires="wps">
                  <w:drawing>
                    <wp:inline distT="0" distB="0" distL="0" distR="0">
                      <wp:extent cx="1332865" cy="6350"/>
                      <wp:effectExtent l="0" t="0" r="0" b="0"/>
                      <wp:docPr id="49" name="Group 49"/>
                      <wp:cNvGraphicFramePr>
                        <a:graphicFrameLocks/>
                      </wp:cNvGraphicFramePr>
                      <a:graphic>
                        <a:graphicData uri="http://schemas.microsoft.com/office/word/2010/wordprocessingGroup">
                          <wpg:wgp>
                            <wpg:cNvPr id="49" name="Group 49"/>
                            <wpg:cNvGrpSpPr/>
                            <wpg:grpSpPr>
                              <a:xfrm>
                                <a:off x="0" y="0"/>
                                <a:ext cx="1332865" cy="6350"/>
                                <a:chExt cx="1332865" cy="6350"/>
                              </a:xfrm>
                            </wpg:grpSpPr>
                            <wps:wsp>
                              <wps:cNvPr id="50" name="Graphic 50"/>
                              <wps:cNvSpPr/>
                              <wps:spPr>
                                <a:xfrm>
                                  <a:off x="0" y="0"/>
                                  <a:ext cx="1332865" cy="6350"/>
                                </a:xfrm>
                                <a:custGeom>
                                  <a:avLst/>
                                  <a:gdLst/>
                                  <a:ahLst/>
                                  <a:cxnLst/>
                                  <a:rect l="l" t="t" r="r" b="b"/>
                                  <a:pathLst>
                                    <a:path w="1332865" h="6350">
                                      <a:moveTo>
                                        <a:pt x="1332738" y="0"/>
                                      </a:moveTo>
                                      <a:lnTo>
                                        <a:pt x="0" y="0"/>
                                      </a:lnTo>
                                      <a:lnTo>
                                        <a:pt x="0" y="6095"/>
                                      </a:lnTo>
                                      <a:lnTo>
                                        <a:pt x="1332738" y="6095"/>
                                      </a:lnTo>
                                      <a:lnTo>
                                        <a:pt x="133273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04.95pt;height:.5pt;mso-position-horizontal-relative:char;mso-position-vertical-relative:line" id="docshapegroup36" coordorigin="0,0" coordsize="2099,10">
                      <v:rect style="position:absolute;left:0;top:0;width:2099;height:10" id="docshape37" filled="true" fillcolor="#000000" stroked="false">
                        <v:fill type="solid"/>
                      </v:rect>
                    </v:group>
                  </w:pict>
                </mc:Fallback>
              </mc:AlternateContent>
            </w:r>
            <w:r>
              <w:rPr>
                <w:sz w:val="2"/>
              </w:rPr>
            </w:r>
          </w:p>
          <w:p>
            <w:pPr>
              <w:pStyle w:val="TableParagraph"/>
              <w:tabs>
                <w:tab w:pos="843" w:val="left" w:leader="none"/>
                <w:tab w:pos="1762" w:val="left" w:leader="none"/>
              </w:tabs>
              <w:spacing w:line="196" w:lineRule="exact" w:before="24"/>
              <w:ind w:left="-1"/>
              <w:rPr>
                <w:sz w:val="18"/>
              </w:rPr>
            </w:pPr>
            <w:r>
              <w:rPr>
                <w:rFonts w:ascii="Times New Roman"/>
                <w:sz w:val="18"/>
                <w:u w:val="thick"/>
              </w:rPr>
              <w:tab/>
            </w:r>
            <w:r>
              <w:rPr>
                <w:spacing w:val="-5"/>
                <w:sz w:val="18"/>
                <w:u w:val="thick"/>
              </w:rPr>
              <w:t>75</w:t>
            </w:r>
            <w:r>
              <w:rPr>
                <w:sz w:val="18"/>
                <w:u w:val="thick"/>
              </w:rPr>
              <w:tab/>
            </w:r>
            <w:r>
              <w:rPr>
                <w:spacing w:val="-4"/>
                <w:sz w:val="18"/>
                <w:u w:val="thick"/>
              </w:rPr>
              <w:t>(437)</w:t>
            </w:r>
          </w:p>
        </w:tc>
      </w:tr>
      <w:tr>
        <w:trPr>
          <w:trHeight w:val="602" w:hRule="atLeast"/>
        </w:trPr>
        <w:tc>
          <w:tcPr>
            <w:tcW w:w="7892" w:type="dxa"/>
            <w:gridSpan w:val="2"/>
          </w:tcPr>
          <w:p>
            <w:pPr>
              <w:pStyle w:val="TableParagraph"/>
              <w:spacing w:before="28"/>
              <w:rPr>
                <w:b/>
                <w:sz w:val="18"/>
              </w:rPr>
            </w:pPr>
          </w:p>
          <w:p>
            <w:pPr>
              <w:pStyle w:val="TableParagraph"/>
              <w:ind w:left="50"/>
              <w:rPr>
                <w:sz w:val="18"/>
              </w:rPr>
            </w:pPr>
            <w:r>
              <w:rPr>
                <w:sz w:val="18"/>
              </w:rPr>
              <w:t>Caixa</w:t>
            </w:r>
            <w:r>
              <w:rPr>
                <w:spacing w:val="-2"/>
                <w:sz w:val="18"/>
              </w:rPr>
              <w:t> </w:t>
            </w:r>
            <w:r>
              <w:rPr>
                <w:sz w:val="18"/>
              </w:rPr>
              <w:t>e</w:t>
            </w:r>
            <w:r>
              <w:rPr>
                <w:spacing w:val="-2"/>
                <w:sz w:val="18"/>
              </w:rPr>
              <w:t> </w:t>
            </w:r>
            <w:r>
              <w:rPr>
                <w:sz w:val="18"/>
              </w:rPr>
              <w:t>equivalentes</w:t>
            </w:r>
            <w:r>
              <w:rPr>
                <w:spacing w:val="-1"/>
                <w:sz w:val="18"/>
              </w:rPr>
              <w:t> </w:t>
            </w:r>
            <w:r>
              <w:rPr>
                <w:sz w:val="18"/>
              </w:rPr>
              <w:t>de</w:t>
            </w:r>
            <w:r>
              <w:rPr>
                <w:spacing w:val="-2"/>
                <w:sz w:val="18"/>
              </w:rPr>
              <w:t> </w:t>
            </w:r>
            <w:r>
              <w:rPr>
                <w:sz w:val="18"/>
              </w:rPr>
              <w:t>caixa</w:t>
            </w:r>
            <w:r>
              <w:rPr>
                <w:spacing w:val="-2"/>
                <w:sz w:val="18"/>
              </w:rPr>
              <w:t> </w:t>
            </w:r>
            <w:r>
              <w:rPr>
                <w:sz w:val="18"/>
              </w:rPr>
              <w:t>no</w:t>
            </w:r>
            <w:r>
              <w:rPr>
                <w:spacing w:val="-3"/>
                <w:sz w:val="18"/>
              </w:rPr>
              <w:t> </w:t>
            </w:r>
            <w:r>
              <w:rPr>
                <w:sz w:val="18"/>
              </w:rPr>
              <w:t>início</w:t>
            </w:r>
            <w:r>
              <w:rPr>
                <w:spacing w:val="-2"/>
                <w:sz w:val="18"/>
              </w:rPr>
              <w:t> </w:t>
            </w:r>
            <w:r>
              <w:rPr>
                <w:sz w:val="18"/>
              </w:rPr>
              <w:t>do</w:t>
            </w:r>
            <w:r>
              <w:rPr>
                <w:spacing w:val="-1"/>
                <w:sz w:val="18"/>
              </w:rPr>
              <w:t> </w:t>
            </w:r>
            <w:r>
              <w:rPr>
                <w:spacing w:val="-2"/>
                <w:sz w:val="18"/>
              </w:rPr>
              <w:t>exercício</w:t>
            </w:r>
          </w:p>
        </w:tc>
        <w:tc>
          <w:tcPr>
            <w:tcW w:w="1203" w:type="dxa"/>
            <w:tcBorders>
              <w:bottom w:val="single" w:sz="4" w:space="0" w:color="000000"/>
            </w:tcBorders>
          </w:tcPr>
          <w:p>
            <w:pPr>
              <w:pStyle w:val="TableParagraph"/>
              <w:spacing w:before="28"/>
              <w:rPr>
                <w:b/>
                <w:sz w:val="18"/>
              </w:rPr>
            </w:pPr>
          </w:p>
          <w:p>
            <w:pPr>
              <w:pStyle w:val="TableParagraph"/>
              <w:ind w:right="172"/>
              <w:jc w:val="right"/>
              <w:rPr>
                <w:sz w:val="18"/>
              </w:rPr>
            </w:pPr>
            <w:r>
              <w:rPr>
                <w:spacing w:val="-5"/>
                <w:sz w:val="18"/>
              </w:rPr>
              <w:t>74</w:t>
            </w:r>
          </w:p>
        </w:tc>
        <w:tc>
          <w:tcPr>
            <w:tcW w:w="1039" w:type="dxa"/>
            <w:tcBorders>
              <w:bottom w:val="single" w:sz="4" w:space="0" w:color="000000"/>
            </w:tcBorders>
          </w:tcPr>
          <w:p>
            <w:pPr>
              <w:pStyle w:val="TableParagraph"/>
              <w:spacing w:before="28"/>
              <w:rPr>
                <w:b/>
                <w:sz w:val="18"/>
              </w:rPr>
            </w:pPr>
          </w:p>
          <w:p>
            <w:pPr>
              <w:pStyle w:val="TableParagraph"/>
              <w:ind w:right="161"/>
              <w:jc w:val="right"/>
              <w:rPr>
                <w:sz w:val="18"/>
              </w:rPr>
            </w:pPr>
            <w:r>
              <w:rPr>
                <w:spacing w:val="-5"/>
                <w:sz w:val="18"/>
              </w:rPr>
              <w:t>511</w:t>
            </w:r>
          </w:p>
        </w:tc>
      </w:tr>
      <w:tr>
        <w:trPr>
          <w:trHeight w:val="256" w:hRule="atLeast"/>
        </w:trPr>
        <w:tc>
          <w:tcPr>
            <w:tcW w:w="7892" w:type="dxa"/>
            <w:gridSpan w:val="2"/>
          </w:tcPr>
          <w:p>
            <w:pPr>
              <w:pStyle w:val="TableParagraph"/>
              <w:spacing w:line="210" w:lineRule="exact" w:before="26"/>
              <w:ind w:left="50"/>
              <w:rPr>
                <w:b/>
                <w:sz w:val="18"/>
              </w:rPr>
            </w:pPr>
            <w:r>
              <w:rPr>
                <w:b/>
                <w:sz w:val="18"/>
              </w:rPr>
              <w:t>Caixa</w:t>
            </w:r>
            <w:r>
              <w:rPr>
                <w:b/>
                <w:spacing w:val="-2"/>
                <w:sz w:val="18"/>
              </w:rPr>
              <w:t> </w:t>
            </w:r>
            <w:r>
              <w:rPr>
                <w:b/>
                <w:sz w:val="18"/>
              </w:rPr>
              <w:t>e</w:t>
            </w:r>
            <w:r>
              <w:rPr>
                <w:b/>
                <w:spacing w:val="-1"/>
                <w:sz w:val="18"/>
              </w:rPr>
              <w:t> </w:t>
            </w:r>
            <w:r>
              <w:rPr>
                <w:b/>
                <w:sz w:val="18"/>
              </w:rPr>
              <w:t>equivalentes</w:t>
            </w:r>
            <w:r>
              <w:rPr>
                <w:b/>
                <w:spacing w:val="-2"/>
                <w:sz w:val="18"/>
              </w:rPr>
              <w:t> </w:t>
            </w:r>
            <w:r>
              <w:rPr>
                <w:b/>
                <w:sz w:val="18"/>
              </w:rPr>
              <w:t>de</w:t>
            </w:r>
            <w:r>
              <w:rPr>
                <w:b/>
                <w:spacing w:val="-2"/>
                <w:sz w:val="18"/>
              </w:rPr>
              <w:t> </w:t>
            </w:r>
            <w:r>
              <w:rPr>
                <w:b/>
                <w:sz w:val="18"/>
              </w:rPr>
              <w:t>caixa</w:t>
            </w:r>
            <w:r>
              <w:rPr>
                <w:b/>
                <w:spacing w:val="-2"/>
                <w:sz w:val="18"/>
              </w:rPr>
              <w:t> </w:t>
            </w:r>
            <w:r>
              <w:rPr>
                <w:b/>
                <w:sz w:val="18"/>
              </w:rPr>
              <w:t>no</w:t>
            </w:r>
            <w:r>
              <w:rPr>
                <w:b/>
                <w:spacing w:val="-1"/>
                <w:sz w:val="18"/>
              </w:rPr>
              <w:t> </w:t>
            </w:r>
            <w:r>
              <w:rPr>
                <w:b/>
                <w:sz w:val="18"/>
              </w:rPr>
              <w:t>fim</w:t>
            </w:r>
            <w:r>
              <w:rPr>
                <w:b/>
                <w:spacing w:val="-1"/>
                <w:sz w:val="18"/>
              </w:rPr>
              <w:t> </w:t>
            </w:r>
            <w:r>
              <w:rPr>
                <w:b/>
                <w:sz w:val="18"/>
              </w:rPr>
              <w:t>do </w:t>
            </w:r>
            <w:r>
              <w:rPr>
                <w:b/>
                <w:spacing w:val="-2"/>
                <w:sz w:val="18"/>
              </w:rPr>
              <w:t>exercício</w:t>
            </w:r>
          </w:p>
        </w:tc>
        <w:tc>
          <w:tcPr>
            <w:tcW w:w="1203" w:type="dxa"/>
            <w:tcBorders>
              <w:top w:val="single" w:sz="4" w:space="0" w:color="000000"/>
              <w:bottom w:val="single" w:sz="24" w:space="0" w:color="000000"/>
            </w:tcBorders>
          </w:tcPr>
          <w:p>
            <w:pPr>
              <w:pStyle w:val="TableParagraph"/>
              <w:spacing w:line="210" w:lineRule="exact" w:before="26"/>
              <w:ind w:right="176"/>
              <w:jc w:val="right"/>
              <w:rPr>
                <w:sz w:val="18"/>
              </w:rPr>
            </w:pPr>
            <w:r>
              <w:rPr>
                <w:spacing w:val="-5"/>
                <w:sz w:val="18"/>
              </w:rPr>
              <w:t>149</w:t>
            </w:r>
          </w:p>
        </w:tc>
        <w:tc>
          <w:tcPr>
            <w:tcW w:w="1039" w:type="dxa"/>
            <w:tcBorders>
              <w:top w:val="single" w:sz="4" w:space="0" w:color="000000"/>
              <w:bottom w:val="single" w:sz="24" w:space="0" w:color="000000"/>
            </w:tcBorders>
          </w:tcPr>
          <w:p>
            <w:pPr>
              <w:pStyle w:val="TableParagraph"/>
              <w:spacing w:line="210" w:lineRule="exact" w:before="26"/>
              <w:ind w:right="161"/>
              <w:jc w:val="right"/>
              <w:rPr>
                <w:sz w:val="18"/>
              </w:rPr>
            </w:pPr>
            <w:r>
              <w:rPr>
                <w:spacing w:val="-5"/>
                <w:sz w:val="18"/>
              </w:rPr>
              <w:t>74</w:t>
            </w:r>
          </w:p>
        </w:tc>
      </w:tr>
      <w:tr>
        <w:trPr>
          <w:trHeight w:val="464" w:hRule="atLeast"/>
        </w:trPr>
        <w:tc>
          <w:tcPr>
            <w:tcW w:w="7892" w:type="dxa"/>
            <w:gridSpan w:val="2"/>
          </w:tcPr>
          <w:p>
            <w:pPr>
              <w:pStyle w:val="TableParagraph"/>
              <w:spacing w:before="125"/>
              <w:rPr>
                <w:b/>
                <w:sz w:val="14"/>
              </w:rPr>
            </w:pPr>
          </w:p>
          <w:p>
            <w:pPr>
              <w:pStyle w:val="TableParagraph"/>
              <w:spacing w:line="148" w:lineRule="exact"/>
              <w:ind w:left="50"/>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4"/>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tc>
        <w:tc>
          <w:tcPr>
            <w:tcW w:w="1203" w:type="dxa"/>
            <w:tcBorders>
              <w:top w:val="single" w:sz="24" w:space="0" w:color="000000"/>
            </w:tcBorders>
          </w:tcPr>
          <w:p>
            <w:pPr>
              <w:pStyle w:val="TableParagraph"/>
              <w:rPr>
                <w:rFonts w:ascii="Times New Roman"/>
                <w:sz w:val="18"/>
              </w:rPr>
            </w:pPr>
          </w:p>
        </w:tc>
        <w:tc>
          <w:tcPr>
            <w:tcW w:w="1039" w:type="dxa"/>
            <w:tcBorders>
              <w:top w:val="single" w:sz="24" w:space="0" w:color="000000"/>
            </w:tcBorders>
          </w:tcPr>
          <w:p>
            <w:pPr>
              <w:pStyle w:val="TableParagraph"/>
              <w:rPr>
                <w:rFonts w:ascii="Times New Roman"/>
                <w:sz w:val="18"/>
              </w:rPr>
            </w:pPr>
          </w:p>
        </w:tc>
      </w:tr>
    </w:tbl>
    <w:p>
      <w:pPr>
        <w:spacing w:after="0"/>
        <w:rPr>
          <w:rFonts w:ascii="Times New Roman"/>
          <w:sz w:val="18"/>
        </w:rPr>
        <w:sectPr>
          <w:pgSz w:w="11910" w:h="16840"/>
          <w:pgMar w:header="637" w:footer="630" w:top="1160" w:bottom="820" w:left="720" w:right="700"/>
        </w:sectPr>
      </w:pPr>
    </w:p>
    <w:p>
      <w:pPr>
        <w:spacing w:before="14"/>
        <w:ind w:left="139" w:right="0" w:firstLine="0"/>
        <w:jc w:val="left"/>
        <w:rPr>
          <w:b/>
          <w:sz w:val="28"/>
        </w:rPr>
      </w:pPr>
      <w:r>
        <w:rPr/>
        <mc:AlternateContent>
          <mc:Choice Requires="wps">
            <w:drawing>
              <wp:anchor distT="0" distB="0" distL="0" distR="0" allowOverlap="1" layoutInCell="1" locked="0" behindDoc="0" simplePos="0" relativeHeight="15739904">
                <wp:simplePos x="0" y="0"/>
                <wp:positionH relativeFrom="page">
                  <wp:posOffset>438797</wp:posOffset>
                </wp:positionH>
                <wp:positionV relativeFrom="page">
                  <wp:posOffset>1110233</wp:posOffset>
                </wp:positionV>
                <wp:extent cx="9815830" cy="127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9815830" cy="1270"/>
                        </a:xfrm>
                        <a:custGeom>
                          <a:avLst/>
                          <a:gdLst/>
                          <a:ahLst/>
                          <a:cxnLst/>
                          <a:rect l="l" t="t" r="r" b="b"/>
                          <a:pathLst>
                            <a:path w="9815830" h="0">
                              <a:moveTo>
                                <a:pt x="0" y="0"/>
                              </a:moveTo>
                              <a:lnTo>
                                <a:pt x="9815322"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9904" from="34.550999pt,87.419998pt" to="807.410999pt,87.419998pt" stroked="true" strokeweight="1.44pt" strokecolor="#000000">
                <v:stroke dashstyle="solid"/>
                <w10:wrap type="none"/>
              </v:line>
            </w:pict>
          </mc:Fallback>
        </mc:AlternateContent>
      </w: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before="1"/>
        <w:ind w:left="139"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p>
      <w:pPr>
        <w:pStyle w:val="Heading4"/>
        <w:spacing w:before="1"/>
        <w:ind w:left="139"/>
        <w:jc w:val="left"/>
      </w:pPr>
      <w:bookmarkStart w:name="_TOC_250018" w:id="7"/>
      <w:r>
        <w:rPr/>
        <w:t>Demonstração</w:t>
      </w:r>
      <w:r>
        <w:rPr>
          <w:spacing w:val="-6"/>
        </w:rPr>
        <w:t> </w:t>
      </w:r>
      <w:r>
        <w:rPr/>
        <w:t>das</w:t>
      </w:r>
      <w:r>
        <w:rPr>
          <w:spacing w:val="-5"/>
        </w:rPr>
        <w:t> </w:t>
      </w:r>
      <w:r>
        <w:rPr/>
        <w:t>Mutações</w:t>
      </w:r>
      <w:r>
        <w:rPr>
          <w:spacing w:val="-5"/>
        </w:rPr>
        <w:t> </w:t>
      </w:r>
      <w:r>
        <w:rPr/>
        <w:t>do</w:t>
      </w:r>
      <w:r>
        <w:rPr>
          <w:spacing w:val="-4"/>
        </w:rPr>
        <w:t> </w:t>
      </w:r>
      <w:r>
        <w:rPr/>
        <w:t>Patrimônio</w:t>
      </w:r>
      <w:r>
        <w:rPr>
          <w:spacing w:val="-4"/>
        </w:rPr>
        <w:t> </w:t>
      </w:r>
      <w:bookmarkEnd w:id="7"/>
      <w:r>
        <w:rPr>
          <w:spacing w:val="-2"/>
        </w:rPr>
        <w:t>Líquido</w:t>
      </w:r>
    </w:p>
    <w:p>
      <w:pPr>
        <w:spacing w:before="2"/>
        <w:ind w:left="139" w:right="0" w:firstLine="0"/>
        <w:jc w:val="left"/>
        <w:rPr>
          <w:i/>
          <w:sz w:val="20"/>
        </w:rPr>
      </w:pPr>
      <w:r>
        <w:rPr>
          <w:i/>
          <w:sz w:val="20"/>
        </w:rPr>
        <w:t>Exercícios</w:t>
      </w:r>
      <w:r>
        <w:rPr>
          <w:i/>
          <w:spacing w:val="-6"/>
          <w:sz w:val="20"/>
        </w:rPr>
        <w:t> </w:t>
      </w:r>
      <w:r>
        <w:rPr>
          <w:i/>
          <w:sz w:val="20"/>
        </w:rPr>
        <w:t>findos</w:t>
      </w:r>
      <w:r>
        <w:rPr>
          <w:i/>
          <w:spacing w:val="-3"/>
          <w:sz w:val="20"/>
        </w:rPr>
        <w:t> </w:t>
      </w:r>
      <w:r>
        <w:rPr>
          <w:i/>
          <w:sz w:val="20"/>
        </w:rPr>
        <w:t>em</w:t>
      </w:r>
      <w:r>
        <w:rPr>
          <w:i/>
          <w:spacing w:val="-4"/>
          <w:sz w:val="20"/>
        </w:rPr>
        <w:t> </w:t>
      </w:r>
      <w:r>
        <w:rPr>
          <w:i/>
          <w:sz w:val="20"/>
        </w:rPr>
        <w:t>31</w:t>
      </w:r>
      <w:r>
        <w:rPr>
          <w:i/>
          <w:spacing w:val="-3"/>
          <w:sz w:val="20"/>
        </w:rPr>
        <w:t> </w:t>
      </w:r>
      <w:r>
        <w:rPr>
          <w:i/>
          <w:sz w:val="20"/>
        </w:rPr>
        <w:t>de</w:t>
      </w:r>
      <w:r>
        <w:rPr>
          <w:i/>
          <w:spacing w:val="-4"/>
          <w:sz w:val="20"/>
        </w:rPr>
        <w:t> </w:t>
      </w:r>
      <w:r>
        <w:rPr>
          <w:i/>
          <w:sz w:val="20"/>
        </w:rPr>
        <w:t>dezembro</w:t>
      </w:r>
      <w:r>
        <w:rPr>
          <w:i/>
          <w:spacing w:val="-4"/>
          <w:sz w:val="20"/>
        </w:rPr>
        <w:t> </w:t>
      </w:r>
      <w:r>
        <w:rPr>
          <w:i/>
          <w:sz w:val="20"/>
        </w:rPr>
        <w:t>(Em</w:t>
      </w:r>
      <w:r>
        <w:rPr>
          <w:i/>
          <w:spacing w:val="-3"/>
          <w:sz w:val="20"/>
        </w:rPr>
        <w:t> </w:t>
      </w:r>
      <w:r>
        <w:rPr>
          <w:i/>
          <w:sz w:val="20"/>
        </w:rPr>
        <w:t>milhares</w:t>
      </w:r>
      <w:r>
        <w:rPr>
          <w:i/>
          <w:spacing w:val="-3"/>
          <w:sz w:val="20"/>
        </w:rPr>
        <w:t> </w:t>
      </w:r>
      <w:r>
        <w:rPr>
          <w:i/>
          <w:sz w:val="20"/>
        </w:rPr>
        <w:t>de</w:t>
      </w:r>
      <w:r>
        <w:rPr>
          <w:i/>
          <w:spacing w:val="-4"/>
          <w:sz w:val="20"/>
        </w:rPr>
        <w:t> </w:t>
      </w:r>
      <w:r>
        <w:rPr>
          <w:i/>
          <w:sz w:val="20"/>
        </w:rPr>
        <w:t>reais,</w:t>
      </w:r>
      <w:r>
        <w:rPr>
          <w:i/>
          <w:spacing w:val="-4"/>
          <w:sz w:val="20"/>
        </w:rPr>
        <w:t> </w:t>
      </w:r>
      <w:r>
        <w:rPr>
          <w:i/>
          <w:sz w:val="20"/>
        </w:rPr>
        <w:t>exceto</w:t>
      </w:r>
      <w:r>
        <w:rPr>
          <w:i/>
          <w:spacing w:val="-4"/>
          <w:sz w:val="20"/>
        </w:rPr>
        <w:t> </w:t>
      </w:r>
      <w:r>
        <w:rPr>
          <w:i/>
          <w:sz w:val="20"/>
        </w:rPr>
        <w:t>quando</w:t>
      </w:r>
      <w:r>
        <w:rPr>
          <w:i/>
          <w:spacing w:val="-3"/>
          <w:sz w:val="20"/>
        </w:rPr>
        <w:t> </w:t>
      </w:r>
      <w:r>
        <w:rPr>
          <w:i/>
          <w:sz w:val="20"/>
        </w:rPr>
        <w:t>indicado</w:t>
      </w:r>
      <w:r>
        <w:rPr>
          <w:i/>
          <w:spacing w:val="-3"/>
          <w:sz w:val="20"/>
        </w:rPr>
        <w:t> </w:t>
      </w:r>
      <w:r>
        <w:rPr>
          <w:i/>
          <w:sz w:val="20"/>
        </w:rPr>
        <w:t>em</w:t>
      </w:r>
      <w:r>
        <w:rPr>
          <w:i/>
          <w:spacing w:val="-3"/>
          <w:sz w:val="20"/>
        </w:rPr>
        <w:t> </w:t>
      </w:r>
      <w:r>
        <w:rPr>
          <w:i/>
          <w:spacing w:val="-2"/>
          <w:sz w:val="20"/>
        </w:rPr>
        <w:t>contrário)</w:t>
      </w:r>
    </w:p>
    <w:p>
      <w:pPr>
        <w:pStyle w:val="BodyText"/>
        <w:rPr>
          <w:i/>
          <w:sz w:val="20"/>
        </w:rPr>
      </w:pPr>
    </w:p>
    <w:p>
      <w:pPr>
        <w:pStyle w:val="BodyText"/>
        <w:rPr>
          <w:i/>
          <w:sz w:val="20"/>
        </w:rPr>
      </w:pPr>
    </w:p>
    <w:p>
      <w:pPr>
        <w:pStyle w:val="BodyText"/>
        <w:rPr>
          <w:i/>
          <w:sz w:val="20"/>
        </w:rPr>
      </w:pPr>
    </w:p>
    <w:p>
      <w:pPr>
        <w:pStyle w:val="BodyText"/>
        <w:spacing w:before="166"/>
        <w:rPr>
          <w:i/>
          <w:sz w:val="20"/>
        </w:rPr>
      </w:pPr>
    </w:p>
    <w:p>
      <w:pPr>
        <w:tabs>
          <w:tab w:pos="7226" w:val="left" w:leader="none"/>
        </w:tabs>
        <w:spacing w:line="232" w:lineRule="auto" w:before="0"/>
        <w:ind w:left="5381" w:right="6610" w:firstLine="107"/>
        <w:jc w:val="center"/>
        <w:rPr>
          <w:b/>
          <w:sz w:val="18"/>
        </w:rPr>
      </w:pPr>
      <w:r>
        <w:rPr>
          <w:b/>
          <w:sz w:val="18"/>
        </w:rPr>
        <w:t>Outros resultados </w:t>
      </w:r>
      <w:r>
        <w:rPr>
          <w:b/>
          <w:spacing w:val="-2"/>
          <w:sz w:val="18"/>
          <w:u w:val="single"/>
        </w:rPr>
        <w:t>abrangentes</w:t>
      </w:r>
      <w:r>
        <w:rPr>
          <w:b/>
          <w:sz w:val="18"/>
          <w:u w:val="single"/>
        </w:rPr>
        <w:tab/>
      </w:r>
    </w:p>
    <w:p>
      <w:pPr>
        <w:pStyle w:val="BodyText"/>
        <w:rPr>
          <w:b/>
          <w:sz w:val="20"/>
        </w:rPr>
      </w:pPr>
    </w:p>
    <w:p>
      <w:pPr>
        <w:pStyle w:val="BodyText"/>
        <w:rPr>
          <w:b/>
          <w:sz w:val="20"/>
        </w:rPr>
      </w:pPr>
    </w:p>
    <w:p>
      <w:pPr>
        <w:pStyle w:val="BodyText"/>
        <w:spacing w:before="169"/>
        <w:rPr>
          <w:b/>
          <w:sz w:val="20"/>
        </w:rPr>
      </w:pPr>
    </w:p>
    <w:tbl>
      <w:tblPr>
        <w:tblW w:w="0" w:type="auto"/>
        <w:jc w:val="left"/>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1"/>
        <w:gridCol w:w="1398"/>
        <w:gridCol w:w="2004"/>
        <w:gridCol w:w="1399"/>
        <w:gridCol w:w="1181"/>
      </w:tblGrid>
      <w:tr>
        <w:trPr>
          <w:trHeight w:val="592" w:hRule="atLeast"/>
        </w:trPr>
        <w:tc>
          <w:tcPr>
            <w:tcW w:w="3851" w:type="dxa"/>
          </w:tcPr>
          <w:p>
            <w:pPr>
              <w:pStyle w:val="TableParagraph"/>
              <w:rPr>
                <w:rFonts w:ascii="Times New Roman"/>
                <w:sz w:val="18"/>
              </w:rPr>
            </w:pPr>
          </w:p>
        </w:tc>
        <w:tc>
          <w:tcPr>
            <w:tcW w:w="1398" w:type="dxa"/>
            <w:tcBorders>
              <w:bottom w:val="single" w:sz="24" w:space="0" w:color="000000"/>
            </w:tcBorders>
          </w:tcPr>
          <w:p>
            <w:pPr>
              <w:pStyle w:val="TableParagraph"/>
              <w:spacing w:line="220" w:lineRule="atLeast" w:before="148"/>
              <w:ind w:left="235" w:right="53" w:hanging="130"/>
              <w:rPr>
                <w:sz w:val="18"/>
              </w:rPr>
            </w:pPr>
            <w:r>
              <w:rPr>
                <w:spacing w:val="-2"/>
                <w:sz w:val="18"/>
              </w:rPr>
              <w:t>Capital</w:t>
            </w:r>
            <w:r>
              <w:rPr>
                <w:spacing w:val="-10"/>
                <w:sz w:val="18"/>
              </w:rPr>
              <w:t> </w:t>
            </w:r>
            <w:r>
              <w:rPr>
                <w:spacing w:val="-2"/>
                <w:sz w:val="18"/>
              </w:rPr>
              <w:t>subscrito</w:t>
            </w:r>
            <w:r>
              <w:rPr>
                <w:sz w:val="18"/>
              </w:rPr>
              <w:t> e</w:t>
            </w:r>
            <w:r>
              <w:rPr>
                <w:spacing w:val="-6"/>
                <w:sz w:val="18"/>
              </w:rPr>
              <w:t> </w:t>
            </w:r>
            <w:r>
              <w:rPr>
                <w:spacing w:val="-2"/>
                <w:sz w:val="18"/>
              </w:rPr>
              <w:t>integralizado</w:t>
            </w:r>
          </w:p>
        </w:tc>
        <w:tc>
          <w:tcPr>
            <w:tcW w:w="2004" w:type="dxa"/>
            <w:tcBorders>
              <w:bottom w:val="single" w:sz="24" w:space="0" w:color="000000"/>
            </w:tcBorders>
          </w:tcPr>
          <w:p>
            <w:pPr>
              <w:pStyle w:val="TableParagraph"/>
              <w:spacing w:line="183" w:lineRule="exact"/>
              <w:ind w:right="237"/>
              <w:jc w:val="right"/>
              <w:rPr>
                <w:sz w:val="18"/>
              </w:rPr>
            </w:pPr>
            <w:r>
              <w:rPr>
                <w:sz w:val="18"/>
              </w:rPr>
              <w:t>Ganhos</w:t>
            </w:r>
            <w:r>
              <w:rPr>
                <w:spacing w:val="-3"/>
                <w:sz w:val="18"/>
              </w:rPr>
              <w:t> </w:t>
            </w:r>
            <w:r>
              <w:rPr>
                <w:spacing w:val="-2"/>
                <w:sz w:val="18"/>
              </w:rPr>
              <w:t>(perdas)</w:t>
            </w:r>
          </w:p>
          <w:p>
            <w:pPr>
              <w:pStyle w:val="TableParagraph"/>
              <w:spacing w:before="1"/>
              <w:ind w:right="236"/>
              <w:jc w:val="right"/>
              <w:rPr>
                <w:sz w:val="18"/>
              </w:rPr>
            </w:pPr>
            <w:r>
              <w:rPr>
                <w:sz w:val="18"/>
              </w:rPr>
              <w:t>atuariais</w:t>
            </w:r>
            <w:r>
              <w:rPr>
                <w:spacing w:val="-5"/>
                <w:sz w:val="18"/>
              </w:rPr>
              <w:t> </w:t>
            </w:r>
            <w:r>
              <w:rPr>
                <w:sz w:val="18"/>
              </w:rPr>
              <w:t>com</w:t>
            </w:r>
            <w:r>
              <w:rPr>
                <w:spacing w:val="-5"/>
                <w:sz w:val="18"/>
              </w:rPr>
              <w:t> </w:t>
            </w:r>
            <w:r>
              <w:rPr>
                <w:spacing w:val="-2"/>
                <w:sz w:val="18"/>
              </w:rPr>
              <w:t>planos</w:t>
            </w:r>
          </w:p>
          <w:p>
            <w:pPr>
              <w:pStyle w:val="TableParagraph"/>
              <w:spacing w:line="151" w:lineRule="exact" w:before="2"/>
              <w:ind w:right="254"/>
              <w:jc w:val="right"/>
              <w:rPr>
                <w:sz w:val="18"/>
              </w:rPr>
            </w:pPr>
            <w:r>
              <w:rPr>
                <w:sz w:val="18"/>
              </w:rPr>
              <w:t>de</w:t>
            </w:r>
            <w:r>
              <w:rPr>
                <w:spacing w:val="-7"/>
                <w:sz w:val="18"/>
              </w:rPr>
              <w:t> </w:t>
            </w:r>
            <w:r>
              <w:rPr>
                <w:sz w:val="18"/>
              </w:rPr>
              <w:t>benefícios</w:t>
            </w:r>
            <w:r>
              <w:rPr>
                <w:spacing w:val="-13"/>
                <w:sz w:val="18"/>
              </w:rPr>
              <w:t> </w:t>
            </w:r>
            <w:r>
              <w:rPr>
                <w:spacing w:val="-2"/>
                <w:sz w:val="18"/>
              </w:rPr>
              <w:t>definidos</w:t>
            </w:r>
          </w:p>
        </w:tc>
        <w:tc>
          <w:tcPr>
            <w:tcW w:w="1399" w:type="dxa"/>
            <w:tcBorders>
              <w:bottom w:val="single" w:sz="24" w:space="0" w:color="000000"/>
            </w:tcBorders>
          </w:tcPr>
          <w:p>
            <w:pPr>
              <w:pStyle w:val="TableParagraph"/>
              <w:spacing w:line="220" w:lineRule="atLeast" w:before="148"/>
              <w:ind w:left="239" w:firstLine="223"/>
              <w:rPr>
                <w:sz w:val="18"/>
              </w:rPr>
            </w:pPr>
            <w:r>
              <w:rPr>
                <w:spacing w:val="-2"/>
                <w:sz w:val="18"/>
              </w:rPr>
              <w:t>Prejuízos</w:t>
            </w:r>
            <w:r>
              <w:rPr>
                <w:sz w:val="18"/>
              </w:rPr>
              <w:t> </w:t>
            </w:r>
            <w:r>
              <w:rPr>
                <w:spacing w:val="-2"/>
                <w:sz w:val="18"/>
              </w:rPr>
              <w:t>acumulados</w:t>
            </w:r>
          </w:p>
        </w:tc>
        <w:tc>
          <w:tcPr>
            <w:tcW w:w="1181" w:type="dxa"/>
            <w:tcBorders>
              <w:bottom w:val="single" w:sz="24" w:space="0" w:color="000000"/>
            </w:tcBorders>
          </w:tcPr>
          <w:p>
            <w:pPr>
              <w:pStyle w:val="TableParagraph"/>
              <w:spacing w:line="183" w:lineRule="exact"/>
              <w:ind w:right="87"/>
              <w:jc w:val="right"/>
              <w:rPr>
                <w:sz w:val="18"/>
              </w:rPr>
            </w:pPr>
            <w:r>
              <w:rPr>
                <w:sz w:val="18"/>
              </w:rPr>
              <w:t>Total</w:t>
            </w:r>
            <w:r>
              <w:rPr>
                <w:spacing w:val="-5"/>
                <w:sz w:val="18"/>
              </w:rPr>
              <w:t> do</w:t>
            </w:r>
          </w:p>
          <w:p>
            <w:pPr>
              <w:pStyle w:val="TableParagraph"/>
              <w:spacing w:before="1"/>
              <w:ind w:right="89"/>
              <w:jc w:val="right"/>
              <w:rPr>
                <w:sz w:val="18"/>
              </w:rPr>
            </w:pPr>
            <w:r>
              <w:rPr>
                <w:spacing w:val="-2"/>
                <w:sz w:val="18"/>
              </w:rPr>
              <w:t>patrimônio</w:t>
            </w:r>
          </w:p>
          <w:p>
            <w:pPr>
              <w:pStyle w:val="TableParagraph"/>
              <w:spacing w:line="151" w:lineRule="exact" w:before="2"/>
              <w:ind w:right="28"/>
              <w:jc w:val="right"/>
              <w:rPr>
                <w:sz w:val="18"/>
              </w:rPr>
            </w:pPr>
            <w:r>
              <w:rPr>
                <w:spacing w:val="-2"/>
                <w:sz w:val="18"/>
              </w:rPr>
              <w:t>líquido</w:t>
            </w:r>
          </w:p>
        </w:tc>
      </w:tr>
      <w:tr>
        <w:trPr>
          <w:trHeight w:val="230" w:hRule="atLeast"/>
        </w:trPr>
        <w:tc>
          <w:tcPr>
            <w:tcW w:w="3851" w:type="dxa"/>
          </w:tcPr>
          <w:p>
            <w:pPr>
              <w:pStyle w:val="TableParagraph"/>
              <w:spacing w:line="211" w:lineRule="exact" w:before="14"/>
              <w:ind w:left="50"/>
              <w:rPr>
                <w:b/>
                <w:sz w:val="18"/>
              </w:rPr>
            </w:pPr>
            <w:r>
              <w:rPr>
                <w:b/>
                <w:sz w:val="18"/>
              </w:rPr>
              <w:t>Saldo</w:t>
            </w:r>
            <w:r>
              <w:rPr>
                <w:b/>
                <w:spacing w:val="-2"/>
                <w:sz w:val="18"/>
              </w:rPr>
              <w:t> </w:t>
            </w:r>
            <w:r>
              <w:rPr>
                <w:b/>
                <w:sz w:val="18"/>
              </w:rPr>
              <w:t>em 1º</w:t>
            </w:r>
            <w:r>
              <w:rPr>
                <w:b/>
                <w:spacing w:val="-2"/>
                <w:sz w:val="18"/>
              </w:rPr>
              <w:t> </w:t>
            </w:r>
            <w:r>
              <w:rPr>
                <w:b/>
                <w:sz w:val="18"/>
              </w:rPr>
              <w:t>de janeiro</w:t>
            </w:r>
            <w:r>
              <w:rPr>
                <w:b/>
                <w:spacing w:val="-2"/>
                <w:sz w:val="18"/>
              </w:rPr>
              <w:t> </w:t>
            </w:r>
            <w:r>
              <w:rPr>
                <w:b/>
                <w:sz w:val="18"/>
              </w:rPr>
              <w:t>de </w:t>
            </w:r>
            <w:r>
              <w:rPr>
                <w:b/>
                <w:spacing w:val="-4"/>
                <w:sz w:val="18"/>
              </w:rPr>
              <w:t>2021</w:t>
            </w:r>
          </w:p>
        </w:tc>
        <w:tc>
          <w:tcPr>
            <w:tcW w:w="1398" w:type="dxa"/>
            <w:tcBorders>
              <w:top w:val="single" w:sz="24" w:space="0" w:color="000000"/>
              <w:bottom w:val="single" w:sz="12" w:space="0" w:color="000000"/>
            </w:tcBorders>
          </w:tcPr>
          <w:p>
            <w:pPr>
              <w:pStyle w:val="TableParagraph"/>
              <w:spacing w:line="211" w:lineRule="exact" w:before="14"/>
              <w:ind w:right="80"/>
              <w:jc w:val="right"/>
              <w:rPr>
                <w:sz w:val="18"/>
              </w:rPr>
            </w:pPr>
            <w:r>
              <w:rPr>
                <w:spacing w:val="-2"/>
                <w:sz w:val="18"/>
              </w:rPr>
              <w:t>2.497.051</w:t>
            </w:r>
          </w:p>
        </w:tc>
        <w:tc>
          <w:tcPr>
            <w:tcW w:w="2004" w:type="dxa"/>
            <w:tcBorders>
              <w:top w:val="single" w:sz="24" w:space="0" w:color="000000"/>
              <w:bottom w:val="single" w:sz="12" w:space="0" w:color="000000"/>
            </w:tcBorders>
          </w:tcPr>
          <w:p>
            <w:pPr>
              <w:pStyle w:val="TableParagraph"/>
              <w:spacing w:line="211" w:lineRule="exact" w:before="14"/>
              <w:ind w:right="239"/>
              <w:jc w:val="right"/>
              <w:rPr>
                <w:sz w:val="18"/>
              </w:rPr>
            </w:pPr>
            <w:r>
              <w:rPr>
                <w:spacing w:val="-2"/>
                <w:sz w:val="18"/>
              </w:rPr>
              <w:t>(37.479)</w:t>
            </w:r>
          </w:p>
        </w:tc>
        <w:tc>
          <w:tcPr>
            <w:tcW w:w="1399" w:type="dxa"/>
            <w:tcBorders>
              <w:top w:val="single" w:sz="24" w:space="0" w:color="000000"/>
              <w:bottom w:val="single" w:sz="12" w:space="0" w:color="000000"/>
            </w:tcBorders>
          </w:tcPr>
          <w:p>
            <w:pPr>
              <w:pStyle w:val="TableParagraph"/>
              <w:spacing w:line="211" w:lineRule="exact" w:before="14"/>
              <w:ind w:right="273"/>
              <w:jc w:val="right"/>
              <w:rPr>
                <w:sz w:val="18"/>
              </w:rPr>
            </w:pPr>
            <w:r>
              <w:rPr>
                <w:spacing w:val="-2"/>
                <w:sz w:val="18"/>
              </w:rPr>
              <w:t>(2.300.446)</w:t>
            </w:r>
          </w:p>
        </w:tc>
        <w:tc>
          <w:tcPr>
            <w:tcW w:w="1181" w:type="dxa"/>
            <w:tcBorders>
              <w:top w:val="single" w:sz="24" w:space="0" w:color="000000"/>
              <w:bottom w:val="single" w:sz="12" w:space="0" w:color="000000"/>
            </w:tcBorders>
          </w:tcPr>
          <w:p>
            <w:pPr>
              <w:pStyle w:val="TableParagraph"/>
              <w:spacing w:line="211" w:lineRule="exact" w:before="14"/>
              <w:ind w:right="85"/>
              <w:jc w:val="right"/>
              <w:rPr>
                <w:sz w:val="18"/>
              </w:rPr>
            </w:pPr>
            <w:r>
              <w:rPr>
                <w:spacing w:val="-2"/>
                <w:sz w:val="18"/>
              </w:rPr>
              <w:t>159.126</w:t>
            </w:r>
          </w:p>
        </w:tc>
      </w:tr>
      <w:tr>
        <w:trPr>
          <w:trHeight w:val="261" w:hRule="atLeast"/>
        </w:trPr>
        <w:tc>
          <w:tcPr>
            <w:tcW w:w="3851" w:type="dxa"/>
          </w:tcPr>
          <w:p>
            <w:pPr>
              <w:pStyle w:val="TableParagraph"/>
              <w:spacing w:before="1"/>
              <w:ind w:left="50"/>
              <w:rPr>
                <w:sz w:val="18"/>
              </w:rPr>
            </w:pPr>
            <w:r>
              <w:rPr>
                <w:sz w:val="18"/>
              </w:rPr>
              <w:t>Lucro</w:t>
            </w:r>
            <w:r>
              <w:rPr>
                <w:spacing w:val="-6"/>
                <w:sz w:val="18"/>
              </w:rPr>
              <w:t> </w:t>
            </w:r>
            <w:r>
              <w:rPr>
                <w:sz w:val="18"/>
              </w:rPr>
              <w:t>líquido</w:t>
            </w:r>
            <w:r>
              <w:rPr>
                <w:spacing w:val="-3"/>
                <w:sz w:val="18"/>
              </w:rPr>
              <w:t> </w:t>
            </w:r>
            <w:r>
              <w:rPr>
                <w:sz w:val="18"/>
              </w:rPr>
              <w:t>do</w:t>
            </w:r>
            <w:r>
              <w:rPr>
                <w:spacing w:val="-2"/>
                <w:sz w:val="18"/>
              </w:rPr>
              <w:t> exercício</w:t>
            </w:r>
          </w:p>
        </w:tc>
        <w:tc>
          <w:tcPr>
            <w:tcW w:w="1398" w:type="dxa"/>
            <w:tcBorders>
              <w:top w:val="single" w:sz="12" w:space="0" w:color="000000"/>
            </w:tcBorders>
          </w:tcPr>
          <w:p>
            <w:pPr>
              <w:pStyle w:val="TableParagraph"/>
              <w:rPr>
                <w:rFonts w:ascii="Times New Roman"/>
                <w:sz w:val="18"/>
              </w:rPr>
            </w:pPr>
          </w:p>
        </w:tc>
        <w:tc>
          <w:tcPr>
            <w:tcW w:w="2004" w:type="dxa"/>
            <w:tcBorders>
              <w:top w:val="single" w:sz="12" w:space="0" w:color="000000"/>
            </w:tcBorders>
          </w:tcPr>
          <w:p>
            <w:pPr>
              <w:pStyle w:val="TableParagraph"/>
              <w:rPr>
                <w:rFonts w:ascii="Times New Roman"/>
                <w:sz w:val="18"/>
              </w:rPr>
            </w:pPr>
          </w:p>
        </w:tc>
        <w:tc>
          <w:tcPr>
            <w:tcW w:w="1399" w:type="dxa"/>
            <w:tcBorders>
              <w:top w:val="single" w:sz="12" w:space="0" w:color="000000"/>
            </w:tcBorders>
          </w:tcPr>
          <w:p>
            <w:pPr>
              <w:pStyle w:val="TableParagraph"/>
              <w:spacing w:line="219" w:lineRule="exact" w:before="23"/>
              <w:ind w:right="274"/>
              <w:jc w:val="right"/>
              <w:rPr>
                <w:sz w:val="18"/>
              </w:rPr>
            </w:pPr>
            <w:r>
              <w:rPr>
                <w:spacing w:val="-2"/>
                <w:sz w:val="18"/>
              </w:rPr>
              <w:t>64.302</w:t>
            </w:r>
          </w:p>
        </w:tc>
        <w:tc>
          <w:tcPr>
            <w:tcW w:w="1181" w:type="dxa"/>
            <w:tcBorders>
              <w:top w:val="single" w:sz="12" w:space="0" w:color="000000"/>
            </w:tcBorders>
          </w:tcPr>
          <w:p>
            <w:pPr>
              <w:pStyle w:val="TableParagraph"/>
              <w:spacing w:line="219" w:lineRule="exact" w:before="23"/>
              <w:ind w:right="86"/>
              <w:jc w:val="right"/>
              <w:rPr>
                <w:sz w:val="18"/>
              </w:rPr>
            </w:pPr>
            <w:r>
              <w:rPr>
                <w:spacing w:val="-2"/>
                <w:sz w:val="18"/>
              </w:rPr>
              <w:t>64.302</w:t>
            </w:r>
          </w:p>
        </w:tc>
      </w:tr>
      <w:tr>
        <w:trPr>
          <w:trHeight w:val="221" w:hRule="atLeast"/>
        </w:trPr>
        <w:tc>
          <w:tcPr>
            <w:tcW w:w="3851" w:type="dxa"/>
          </w:tcPr>
          <w:p>
            <w:pPr>
              <w:pStyle w:val="TableParagraph"/>
              <w:spacing w:line="202" w:lineRule="exact"/>
              <w:ind w:left="50"/>
              <w:rPr>
                <w:sz w:val="18"/>
              </w:rPr>
            </w:pPr>
            <w:r>
              <w:rPr>
                <w:sz w:val="18"/>
              </w:rPr>
              <w:t>Outros</w:t>
            </w:r>
            <w:r>
              <w:rPr>
                <w:spacing w:val="-9"/>
                <w:sz w:val="18"/>
              </w:rPr>
              <w:t> </w:t>
            </w:r>
            <w:r>
              <w:rPr>
                <w:sz w:val="18"/>
              </w:rPr>
              <w:t>resultados</w:t>
            </w:r>
            <w:r>
              <w:rPr>
                <w:spacing w:val="-7"/>
                <w:sz w:val="18"/>
              </w:rPr>
              <w:t> </w:t>
            </w:r>
            <w:r>
              <w:rPr>
                <w:spacing w:val="-2"/>
                <w:sz w:val="18"/>
              </w:rPr>
              <w:t>abrangentes</w:t>
            </w:r>
          </w:p>
        </w:tc>
        <w:tc>
          <w:tcPr>
            <w:tcW w:w="1398" w:type="dxa"/>
            <w:tcBorders>
              <w:bottom w:val="single" w:sz="18" w:space="0" w:color="000000"/>
            </w:tcBorders>
          </w:tcPr>
          <w:p>
            <w:pPr>
              <w:pStyle w:val="TableParagraph"/>
              <w:rPr>
                <w:rFonts w:ascii="Times New Roman"/>
                <w:sz w:val="14"/>
              </w:rPr>
            </w:pPr>
          </w:p>
        </w:tc>
        <w:tc>
          <w:tcPr>
            <w:tcW w:w="2004" w:type="dxa"/>
            <w:tcBorders>
              <w:bottom w:val="single" w:sz="18" w:space="0" w:color="000000"/>
            </w:tcBorders>
          </w:tcPr>
          <w:p>
            <w:pPr>
              <w:pStyle w:val="TableParagraph"/>
              <w:spacing w:line="156" w:lineRule="exact" w:before="28"/>
              <w:ind w:right="239"/>
              <w:jc w:val="right"/>
              <w:rPr>
                <w:sz w:val="18"/>
              </w:rPr>
            </w:pPr>
            <w:r>
              <w:rPr>
                <w:spacing w:val="-2"/>
                <w:sz w:val="18"/>
              </w:rPr>
              <w:t>(27.416)</w:t>
            </w:r>
          </w:p>
        </w:tc>
        <w:tc>
          <w:tcPr>
            <w:tcW w:w="1399" w:type="dxa"/>
            <w:tcBorders>
              <w:bottom w:val="single" w:sz="18" w:space="0" w:color="000000"/>
            </w:tcBorders>
          </w:tcPr>
          <w:p>
            <w:pPr>
              <w:pStyle w:val="TableParagraph"/>
              <w:rPr>
                <w:rFonts w:ascii="Times New Roman"/>
                <w:sz w:val="14"/>
              </w:rPr>
            </w:pPr>
          </w:p>
        </w:tc>
        <w:tc>
          <w:tcPr>
            <w:tcW w:w="1181" w:type="dxa"/>
            <w:tcBorders>
              <w:bottom w:val="single" w:sz="18" w:space="0" w:color="000000"/>
            </w:tcBorders>
          </w:tcPr>
          <w:p>
            <w:pPr>
              <w:pStyle w:val="TableParagraph"/>
              <w:spacing w:line="156" w:lineRule="exact" w:before="28"/>
              <w:ind w:right="29"/>
              <w:jc w:val="right"/>
              <w:rPr>
                <w:sz w:val="18"/>
              </w:rPr>
            </w:pPr>
            <w:r>
              <w:rPr>
                <w:spacing w:val="-2"/>
                <w:sz w:val="18"/>
              </w:rPr>
              <w:t>(27.416)</w:t>
            </w:r>
          </w:p>
        </w:tc>
      </w:tr>
      <w:tr>
        <w:trPr>
          <w:trHeight w:val="217" w:hRule="atLeast"/>
        </w:trPr>
        <w:tc>
          <w:tcPr>
            <w:tcW w:w="3851" w:type="dxa"/>
          </w:tcPr>
          <w:p>
            <w:pPr>
              <w:pStyle w:val="TableParagraph"/>
              <w:spacing w:line="198" w:lineRule="exact"/>
              <w:ind w:left="50"/>
              <w:rPr>
                <w:b/>
                <w:sz w:val="18"/>
              </w:rPr>
            </w:pPr>
            <w:r>
              <w:rPr>
                <w:b/>
                <w:sz w:val="18"/>
              </w:rPr>
              <w:t>Saldo</w:t>
            </w:r>
            <w:r>
              <w:rPr>
                <w:b/>
                <w:spacing w:val="-2"/>
                <w:sz w:val="18"/>
              </w:rPr>
              <w:t> </w:t>
            </w:r>
            <w:r>
              <w:rPr>
                <w:b/>
                <w:sz w:val="18"/>
              </w:rPr>
              <w:t>em</w:t>
            </w:r>
            <w:r>
              <w:rPr>
                <w:b/>
                <w:spacing w:val="-1"/>
                <w:sz w:val="18"/>
              </w:rPr>
              <w:t> </w:t>
            </w:r>
            <w:r>
              <w:rPr>
                <w:b/>
                <w:sz w:val="18"/>
              </w:rPr>
              <w:t>31 de</w:t>
            </w:r>
            <w:r>
              <w:rPr>
                <w:b/>
                <w:spacing w:val="-2"/>
                <w:sz w:val="18"/>
              </w:rPr>
              <w:t> </w:t>
            </w:r>
            <w:r>
              <w:rPr>
                <w:b/>
                <w:sz w:val="18"/>
              </w:rPr>
              <w:t>dezembro</w:t>
            </w:r>
            <w:r>
              <w:rPr>
                <w:b/>
                <w:spacing w:val="-2"/>
                <w:sz w:val="18"/>
              </w:rPr>
              <w:t> </w:t>
            </w:r>
            <w:r>
              <w:rPr>
                <w:b/>
                <w:sz w:val="18"/>
              </w:rPr>
              <w:t>de </w:t>
            </w:r>
            <w:r>
              <w:rPr>
                <w:b/>
                <w:spacing w:val="-4"/>
                <w:sz w:val="18"/>
              </w:rPr>
              <w:t>2021</w:t>
            </w:r>
          </w:p>
        </w:tc>
        <w:tc>
          <w:tcPr>
            <w:tcW w:w="1398" w:type="dxa"/>
            <w:tcBorders>
              <w:top w:val="single" w:sz="18" w:space="0" w:color="000000"/>
              <w:bottom w:val="single" w:sz="24" w:space="0" w:color="000000"/>
            </w:tcBorders>
          </w:tcPr>
          <w:p>
            <w:pPr>
              <w:pStyle w:val="TableParagraph"/>
              <w:spacing w:line="149" w:lineRule="exact" w:before="48"/>
              <w:ind w:right="69"/>
              <w:jc w:val="right"/>
              <w:rPr>
                <w:sz w:val="18"/>
              </w:rPr>
            </w:pPr>
            <w:r>
              <w:rPr>
                <w:spacing w:val="-2"/>
                <w:sz w:val="18"/>
              </w:rPr>
              <w:t>2.497.051</w:t>
            </w:r>
          </w:p>
        </w:tc>
        <w:tc>
          <w:tcPr>
            <w:tcW w:w="2004" w:type="dxa"/>
            <w:tcBorders>
              <w:top w:val="single" w:sz="18" w:space="0" w:color="000000"/>
              <w:bottom w:val="single" w:sz="24" w:space="0" w:color="000000"/>
            </w:tcBorders>
          </w:tcPr>
          <w:p>
            <w:pPr>
              <w:pStyle w:val="TableParagraph"/>
              <w:spacing w:line="149" w:lineRule="exact" w:before="48"/>
              <w:ind w:right="239"/>
              <w:jc w:val="right"/>
              <w:rPr>
                <w:sz w:val="18"/>
              </w:rPr>
            </w:pPr>
            <w:r>
              <w:rPr>
                <w:spacing w:val="-2"/>
                <w:sz w:val="18"/>
              </w:rPr>
              <w:t>(64.895)</w:t>
            </w:r>
          </w:p>
        </w:tc>
        <w:tc>
          <w:tcPr>
            <w:tcW w:w="1399" w:type="dxa"/>
            <w:tcBorders>
              <w:top w:val="single" w:sz="18" w:space="0" w:color="000000"/>
              <w:bottom w:val="single" w:sz="24" w:space="0" w:color="000000"/>
            </w:tcBorders>
          </w:tcPr>
          <w:p>
            <w:pPr>
              <w:pStyle w:val="TableParagraph"/>
              <w:spacing w:line="149" w:lineRule="exact" w:before="48"/>
              <w:ind w:right="273"/>
              <w:jc w:val="right"/>
              <w:rPr>
                <w:sz w:val="18"/>
              </w:rPr>
            </w:pPr>
            <w:r>
              <w:rPr>
                <w:spacing w:val="-2"/>
                <w:sz w:val="18"/>
              </w:rPr>
              <w:t>(2.236.144)</w:t>
            </w:r>
          </w:p>
        </w:tc>
        <w:tc>
          <w:tcPr>
            <w:tcW w:w="1181" w:type="dxa"/>
            <w:tcBorders>
              <w:top w:val="single" w:sz="18" w:space="0" w:color="000000"/>
              <w:bottom w:val="single" w:sz="24" w:space="0" w:color="000000"/>
            </w:tcBorders>
          </w:tcPr>
          <w:p>
            <w:pPr>
              <w:pStyle w:val="TableParagraph"/>
              <w:spacing w:line="149" w:lineRule="exact" w:before="48"/>
              <w:ind w:right="28"/>
              <w:jc w:val="right"/>
              <w:rPr>
                <w:sz w:val="18"/>
              </w:rPr>
            </w:pPr>
            <w:r>
              <w:rPr>
                <w:spacing w:val="-2"/>
                <w:sz w:val="18"/>
              </w:rPr>
              <w:t>196.012</w:t>
            </w:r>
          </w:p>
        </w:tc>
      </w:tr>
      <w:tr>
        <w:trPr>
          <w:trHeight w:val="263" w:hRule="atLeast"/>
        </w:trPr>
        <w:tc>
          <w:tcPr>
            <w:tcW w:w="3851" w:type="dxa"/>
          </w:tcPr>
          <w:p>
            <w:pPr>
              <w:pStyle w:val="TableParagraph"/>
              <w:spacing w:before="8"/>
              <w:ind w:left="50"/>
              <w:rPr>
                <w:sz w:val="18"/>
              </w:rPr>
            </w:pPr>
            <w:r>
              <w:rPr>
                <w:sz w:val="18"/>
              </w:rPr>
              <w:t>Redução</w:t>
            </w:r>
            <w:r>
              <w:rPr>
                <w:spacing w:val="-3"/>
                <w:sz w:val="18"/>
              </w:rPr>
              <w:t> </w:t>
            </w:r>
            <w:r>
              <w:rPr>
                <w:sz w:val="18"/>
              </w:rPr>
              <w:t>de</w:t>
            </w:r>
            <w:r>
              <w:rPr>
                <w:spacing w:val="-3"/>
                <w:sz w:val="18"/>
              </w:rPr>
              <w:t> </w:t>
            </w:r>
            <w:r>
              <w:rPr>
                <w:spacing w:val="-2"/>
                <w:sz w:val="18"/>
              </w:rPr>
              <w:t>capital</w:t>
            </w:r>
          </w:p>
        </w:tc>
        <w:tc>
          <w:tcPr>
            <w:tcW w:w="1398" w:type="dxa"/>
            <w:tcBorders>
              <w:top w:val="single" w:sz="24" w:space="0" w:color="000000"/>
            </w:tcBorders>
          </w:tcPr>
          <w:p>
            <w:pPr>
              <w:pStyle w:val="TableParagraph"/>
              <w:spacing w:before="40"/>
              <w:ind w:right="78"/>
              <w:jc w:val="right"/>
              <w:rPr>
                <w:sz w:val="18"/>
              </w:rPr>
            </w:pPr>
            <w:r>
              <w:rPr>
                <w:spacing w:val="-2"/>
                <w:sz w:val="18"/>
              </w:rPr>
              <w:t>(35.330)</w:t>
            </w:r>
          </w:p>
        </w:tc>
        <w:tc>
          <w:tcPr>
            <w:tcW w:w="2004" w:type="dxa"/>
            <w:tcBorders>
              <w:top w:val="single" w:sz="24" w:space="0" w:color="000000"/>
            </w:tcBorders>
          </w:tcPr>
          <w:p>
            <w:pPr>
              <w:pStyle w:val="TableParagraph"/>
              <w:rPr>
                <w:rFonts w:ascii="Times New Roman"/>
                <w:sz w:val="18"/>
              </w:rPr>
            </w:pPr>
          </w:p>
        </w:tc>
        <w:tc>
          <w:tcPr>
            <w:tcW w:w="1399" w:type="dxa"/>
            <w:tcBorders>
              <w:top w:val="single" w:sz="24" w:space="0" w:color="000000"/>
            </w:tcBorders>
          </w:tcPr>
          <w:p>
            <w:pPr>
              <w:pStyle w:val="TableParagraph"/>
              <w:rPr>
                <w:rFonts w:ascii="Times New Roman"/>
                <w:sz w:val="18"/>
              </w:rPr>
            </w:pPr>
          </w:p>
        </w:tc>
        <w:tc>
          <w:tcPr>
            <w:tcW w:w="1181" w:type="dxa"/>
            <w:tcBorders>
              <w:top w:val="single" w:sz="24" w:space="0" w:color="000000"/>
            </w:tcBorders>
          </w:tcPr>
          <w:p>
            <w:pPr>
              <w:pStyle w:val="TableParagraph"/>
              <w:spacing w:before="40"/>
              <w:ind w:right="83"/>
              <w:jc w:val="right"/>
              <w:rPr>
                <w:sz w:val="18"/>
              </w:rPr>
            </w:pPr>
            <w:r>
              <w:rPr>
                <w:spacing w:val="-2"/>
                <w:sz w:val="18"/>
              </w:rPr>
              <w:t>(35.330)</w:t>
            </w:r>
          </w:p>
        </w:tc>
      </w:tr>
      <w:tr>
        <w:trPr>
          <w:trHeight w:val="222" w:hRule="atLeast"/>
        </w:trPr>
        <w:tc>
          <w:tcPr>
            <w:tcW w:w="3851" w:type="dxa"/>
          </w:tcPr>
          <w:p>
            <w:pPr>
              <w:pStyle w:val="TableParagraph"/>
              <w:spacing w:line="203" w:lineRule="exact"/>
              <w:ind w:left="50"/>
              <w:rPr>
                <w:sz w:val="18"/>
              </w:rPr>
            </w:pPr>
            <w:r>
              <w:rPr>
                <w:sz w:val="18"/>
              </w:rPr>
              <w:t>Lucro</w:t>
            </w:r>
            <w:r>
              <w:rPr>
                <w:spacing w:val="-6"/>
                <w:sz w:val="18"/>
              </w:rPr>
              <w:t> </w:t>
            </w:r>
            <w:r>
              <w:rPr>
                <w:sz w:val="18"/>
              </w:rPr>
              <w:t>líquido</w:t>
            </w:r>
            <w:r>
              <w:rPr>
                <w:spacing w:val="-3"/>
                <w:sz w:val="18"/>
              </w:rPr>
              <w:t> </w:t>
            </w:r>
            <w:r>
              <w:rPr>
                <w:sz w:val="18"/>
              </w:rPr>
              <w:t>do</w:t>
            </w:r>
            <w:r>
              <w:rPr>
                <w:spacing w:val="-2"/>
                <w:sz w:val="18"/>
              </w:rPr>
              <w:t> exercício</w:t>
            </w:r>
          </w:p>
        </w:tc>
        <w:tc>
          <w:tcPr>
            <w:tcW w:w="1398" w:type="dxa"/>
            <w:tcBorders>
              <w:bottom w:val="single" w:sz="18" w:space="0" w:color="000000"/>
            </w:tcBorders>
          </w:tcPr>
          <w:p>
            <w:pPr>
              <w:pStyle w:val="TableParagraph"/>
              <w:rPr>
                <w:rFonts w:ascii="Times New Roman"/>
                <w:sz w:val="14"/>
              </w:rPr>
            </w:pPr>
          </w:p>
        </w:tc>
        <w:tc>
          <w:tcPr>
            <w:tcW w:w="2004" w:type="dxa"/>
            <w:tcBorders>
              <w:bottom w:val="single" w:sz="18" w:space="0" w:color="000000"/>
            </w:tcBorders>
          </w:tcPr>
          <w:p>
            <w:pPr>
              <w:pStyle w:val="TableParagraph"/>
              <w:rPr>
                <w:rFonts w:ascii="Times New Roman"/>
                <w:sz w:val="14"/>
              </w:rPr>
            </w:pPr>
          </w:p>
        </w:tc>
        <w:tc>
          <w:tcPr>
            <w:tcW w:w="1399" w:type="dxa"/>
            <w:tcBorders>
              <w:bottom w:val="single" w:sz="18" w:space="0" w:color="000000"/>
            </w:tcBorders>
          </w:tcPr>
          <w:p>
            <w:pPr>
              <w:pStyle w:val="TableParagraph"/>
              <w:spacing w:line="157" w:lineRule="exact" w:before="29"/>
              <w:ind w:right="274"/>
              <w:jc w:val="right"/>
              <w:rPr>
                <w:sz w:val="18"/>
              </w:rPr>
            </w:pPr>
            <w:r>
              <w:rPr>
                <w:spacing w:val="-2"/>
                <w:sz w:val="18"/>
              </w:rPr>
              <w:t>1.472</w:t>
            </w:r>
          </w:p>
        </w:tc>
        <w:tc>
          <w:tcPr>
            <w:tcW w:w="1181" w:type="dxa"/>
            <w:tcBorders>
              <w:bottom w:val="single" w:sz="18" w:space="0" w:color="000000"/>
            </w:tcBorders>
          </w:tcPr>
          <w:p>
            <w:pPr>
              <w:pStyle w:val="TableParagraph"/>
              <w:spacing w:line="157" w:lineRule="exact" w:before="29"/>
              <w:ind w:right="28"/>
              <w:jc w:val="right"/>
              <w:rPr>
                <w:sz w:val="18"/>
              </w:rPr>
            </w:pPr>
            <w:r>
              <w:rPr>
                <w:spacing w:val="-2"/>
                <w:sz w:val="18"/>
              </w:rPr>
              <w:t>1.472</w:t>
            </w:r>
          </w:p>
        </w:tc>
      </w:tr>
      <w:tr>
        <w:trPr>
          <w:trHeight w:val="198" w:hRule="atLeast"/>
        </w:trPr>
        <w:tc>
          <w:tcPr>
            <w:tcW w:w="3851" w:type="dxa"/>
          </w:tcPr>
          <w:p>
            <w:pPr>
              <w:pStyle w:val="TableParagraph"/>
              <w:spacing w:line="178" w:lineRule="exact"/>
              <w:ind w:left="50"/>
              <w:rPr>
                <w:b/>
                <w:sz w:val="18"/>
              </w:rPr>
            </w:pPr>
            <w:r>
              <w:rPr>
                <w:b/>
                <w:sz w:val="18"/>
              </w:rPr>
              <w:t>Saldo</w:t>
            </w:r>
            <w:r>
              <w:rPr>
                <w:b/>
                <w:spacing w:val="-2"/>
                <w:sz w:val="18"/>
              </w:rPr>
              <w:t> </w:t>
            </w:r>
            <w:r>
              <w:rPr>
                <w:b/>
                <w:sz w:val="18"/>
              </w:rPr>
              <w:t>em</w:t>
            </w:r>
            <w:r>
              <w:rPr>
                <w:b/>
                <w:spacing w:val="-1"/>
                <w:sz w:val="18"/>
              </w:rPr>
              <w:t> </w:t>
            </w:r>
            <w:r>
              <w:rPr>
                <w:b/>
                <w:sz w:val="18"/>
              </w:rPr>
              <w:t>31 de</w:t>
            </w:r>
            <w:r>
              <w:rPr>
                <w:b/>
                <w:spacing w:val="-2"/>
                <w:sz w:val="18"/>
              </w:rPr>
              <w:t> </w:t>
            </w:r>
            <w:r>
              <w:rPr>
                <w:b/>
                <w:sz w:val="18"/>
              </w:rPr>
              <w:t>dezembro</w:t>
            </w:r>
            <w:r>
              <w:rPr>
                <w:b/>
                <w:spacing w:val="-2"/>
                <w:sz w:val="18"/>
              </w:rPr>
              <w:t> </w:t>
            </w:r>
            <w:r>
              <w:rPr>
                <w:b/>
                <w:sz w:val="18"/>
              </w:rPr>
              <w:t>de </w:t>
            </w:r>
            <w:r>
              <w:rPr>
                <w:b/>
                <w:spacing w:val="-4"/>
                <w:sz w:val="18"/>
              </w:rPr>
              <w:t>2022</w:t>
            </w:r>
          </w:p>
        </w:tc>
        <w:tc>
          <w:tcPr>
            <w:tcW w:w="1398" w:type="dxa"/>
            <w:tcBorders>
              <w:top w:val="single" w:sz="18" w:space="0" w:color="000000"/>
              <w:bottom w:val="single" w:sz="24" w:space="0" w:color="000000"/>
            </w:tcBorders>
          </w:tcPr>
          <w:p>
            <w:pPr>
              <w:pStyle w:val="TableParagraph"/>
              <w:spacing w:line="149" w:lineRule="exact" w:before="47"/>
              <w:ind w:right="69"/>
              <w:jc w:val="right"/>
              <w:rPr>
                <w:sz w:val="18"/>
              </w:rPr>
            </w:pPr>
            <w:r>
              <w:rPr>
                <w:spacing w:val="-2"/>
                <w:sz w:val="18"/>
              </w:rPr>
              <w:t>2.461.721</w:t>
            </w:r>
          </w:p>
        </w:tc>
        <w:tc>
          <w:tcPr>
            <w:tcW w:w="2004" w:type="dxa"/>
            <w:tcBorders>
              <w:top w:val="single" w:sz="18" w:space="0" w:color="000000"/>
              <w:bottom w:val="single" w:sz="24" w:space="0" w:color="000000"/>
            </w:tcBorders>
          </w:tcPr>
          <w:p>
            <w:pPr>
              <w:pStyle w:val="TableParagraph"/>
              <w:spacing w:line="149" w:lineRule="exact" w:before="47"/>
              <w:ind w:right="239"/>
              <w:jc w:val="right"/>
              <w:rPr>
                <w:sz w:val="18"/>
              </w:rPr>
            </w:pPr>
            <w:r>
              <w:rPr>
                <w:spacing w:val="-2"/>
                <w:sz w:val="18"/>
              </w:rPr>
              <w:t>(64.895)</w:t>
            </w:r>
          </w:p>
        </w:tc>
        <w:tc>
          <w:tcPr>
            <w:tcW w:w="1399" w:type="dxa"/>
            <w:tcBorders>
              <w:top w:val="single" w:sz="18" w:space="0" w:color="000000"/>
              <w:bottom w:val="single" w:sz="24" w:space="0" w:color="000000"/>
            </w:tcBorders>
          </w:tcPr>
          <w:p>
            <w:pPr>
              <w:pStyle w:val="TableParagraph"/>
              <w:spacing w:line="149" w:lineRule="exact" w:before="47"/>
              <w:ind w:right="273"/>
              <w:jc w:val="right"/>
              <w:rPr>
                <w:sz w:val="18"/>
              </w:rPr>
            </w:pPr>
            <w:r>
              <w:rPr>
                <w:spacing w:val="-2"/>
                <w:sz w:val="18"/>
              </w:rPr>
              <w:t>(2.234.672)</w:t>
            </w:r>
          </w:p>
        </w:tc>
        <w:tc>
          <w:tcPr>
            <w:tcW w:w="1181" w:type="dxa"/>
            <w:tcBorders>
              <w:top w:val="single" w:sz="18" w:space="0" w:color="000000"/>
              <w:bottom w:val="single" w:sz="24" w:space="0" w:color="000000"/>
            </w:tcBorders>
          </w:tcPr>
          <w:p>
            <w:pPr>
              <w:pStyle w:val="TableParagraph"/>
              <w:spacing w:line="149" w:lineRule="exact" w:before="47"/>
              <w:ind w:right="28"/>
              <w:jc w:val="right"/>
              <w:rPr>
                <w:sz w:val="18"/>
              </w:rPr>
            </w:pPr>
            <w:r>
              <w:rPr>
                <w:spacing w:val="-2"/>
                <w:sz w:val="18"/>
              </w:rPr>
              <w:t>162.154</w:t>
            </w:r>
          </w:p>
        </w:tc>
      </w:tr>
    </w:tbl>
    <w:p>
      <w:pPr>
        <w:pStyle w:val="BodyText"/>
        <w:spacing w:before="79"/>
        <w:rPr>
          <w:b/>
          <w:sz w:val="14"/>
        </w:rPr>
      </w:pPr>
    </w:p>
    <w:p>
      <w:pPr>
        <w:spacing w:before="0"/>
        <w:ind w:left="207" w:right="0" w:firstLine="0"/>
        <w:jc w:val="left"/>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4"/>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p>
      <w:pPr>
        <w:spacing w:after="0"/>
        <w:jc w:val="left"/>
        <w:rPr>
          <w:sz w:val="14"/>
        </w:rPr>
        <w:sectPr>
          <w:headerReference w:type="default" r:id="rId14"/>
          <w:footerReference w:type="default" r:id="rId15"/>
          <w:pgSz w:w="16840" w:h="11910" w:orient="landscape"/>
          <w:pgMar w:header="0" w:footer="626" w:top="540" w:bottom="820" w:left="580" w:right="2420"/>
        </w:sectPr>
      </w:pPr>
    </w:p>
    <w:p>
      <w:pPr>
        <w:pStyle w:val="Heading4"/>
        <w:spacing w:line="282" w:lineRule="exact"/>
        <w:ind w:left="152"/>
        <w:jc w:val="left"/>
      </w:pPr>
      <w:bookmarkStart w:name="_TOC_250017" w:id="8"/>
      <w:r>
        <w:rPr/>
        <w:t>Demonstração</w:t>
      </w:r>
      <w:r>
        <w:rPr>
          <w:spacing w:val="-5"/>
        </w:rPr>
        <w:t> </w:t>
      </w:r>
      <w:r>
        <w:rPr/>
        <w:t>do</w:t>
      </w:r>
      <w:r>
        <w:rPr>
          <w:spacing w:val="-5"/>
        </w:rPr>
        <w:t> </w:t>
      </w:r>
      <w:r>
        <w:rPr/>
        <w:t>Valor</w:t>
      </w:r>
      <w:r>
        <w:rPr>
          <w:spacing w:val="-5"/>
        </w:rPr>
        <w:t> </w:t>
      </w:r>
      <w:bookmarkEnd w:id="8"/>
      <w:r>
        <w:rPr>
          <w:spacing w:val="-2"/>
        </w:rPr>
        <w:t>Adicionado</w:t>
      </w:r>
    </w:p>
    <w:p>
      <w:pPr>
        <w:spacing w:before="3"/>
        <w:ind w:left="152" w:right="0" w:firstLine="0"/>
        <w:jc w:val="left"/>
        <w:rPr>
          <w:i/>
          <w:sz w:val="20"/>
        </w:rPr>
      </w:pPr>
      <w:r>
        <w:rPr/>
        <mc:AlternateContent>
          <mc:Choice Requires="wps">
            <w:drawing>
              <wp:anchor distT="0" distB="0" distL="0" distR="0" allowOverlap="1" layoutInCell="1" locked="0" behindDoc="1" simplePos="0" relativeHeight="487599616">
                <wp:simplePos x="0" y="0"/>
                <wp:positionH relativeFrom="page">
                  <wp:posOffset>527304</wp:posOffset>
                </wp:positionH>
                <wp:positionV relativeFrom="paragraph">
                  <wp:posOffset>167102</wp:posOffset>
                </wp:positionV>
                <wp:extent cx="6525895" cy="1905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6525895" cy="19050"/>
                        </a:xfrm>
                        <a:custGeom>
                          <a:avLst/>
                          <a:gdLst/>
                          <a:ahLst/>
                          <a:cxnLst/>
                          <a:rect l="l" t="t" r="r" b="b"/>
                          <a:pathLst>
                            <a:path w="6525895" h="19050">
                              <a:moveTo>
                                <a:pt x="6525768" y="0"/>
                              </a:moveTo>
                              <a:lnTo>
                                <a:pt x="0" y="0"/>
                              </a:lnTo>
                              <a:lnTo>
                                <a:pt x="0" y="19050"/>
                              </a:lnTo>
                              <a:lnTo>
                                <a:pt x="6525768" y="19050"/>
                              </a:lnTo>
                              <a:lnTo>
                                <a:pt x="65257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52pt;margin-top:13.157673pt;width:513.84pt;height:1.5pt;mso-position-horizontal-relative:page;mso-position-vertical-relative:paragraph;z-index:-15716864;mso-wrap-distance-left:0;mso-wrap-distance-right:0" id="docshape41" filled="true" fillcolor="#000000" stroked="false">
                <v:fill type="solid"/>
                <w10:wrap type="topAndBottom"/>
              </v:rect>
            </w:pict>
          </mc:Fallback>
        </mc:AlternateContent>
      </w:r>
      <w:r>
        <w:rPr>
          <w:i/>
          <w:sz w:val="20"/>
        </w:rPr>
        <w:t>Exercícios</w:t>
      </w:r>
      <w:r>
        <w:rPr>
          <w:i/>
          <w:spacing w:val="-6"/>
          <w:sz w:val="20"/>
        </w:rPr>
        <w:t> </w:t>
      </w:r>
      <w:r>
        <w:rPr>
          <w:i/>
          <w:sz w:val="20"/>
        </w:rPr>
        <w:t>findos</w:t>
      </w:r>
      <w:r>
        <w:rPr>
          <w:i/>
          <w:spacing w:val="-3"/>
          <w:sz w:val="20"/>
        </w:rPr>
        <w:t> </w:t>
      </w:r>
      <w:r>
        <w:rPr>
          <w:i/>
          <w:sz w:val="20"/>
        </w:rPr>
        <w:t>em</w:t>
      </w:r>
      <w:r>
        <w:rPr>
          <w:i/>
          <w:spacing w:val="-4"/>
          <w:sz w:val="20"/>
        </w:rPr>
        <w:t> </w:t>
      </w:r>
      <w:r>
        <w:rPr>
          <w:i/>
          <w:sz w:val="20"/>
        </w:rPr>
        <w:t>31</w:t>
      </w:r>
      <w:r>
        <w:rPr>
          <w:i/>
          <w:spacing w:val="-3"/>
          <w:sz w:val="20"/>
        </w:rPr>
        <w:t> </w:t>
      </w:r>
      <w:r>
        <w:rPr>
          <w:i/>
          <w:sz w:val="20"/>
        </w:rPr>
        <w:t>de</w:t>
      </w:r>
      <w:r>
        <w:rPr>
          <w:i/>
          <w:spacing w:val="-4"/>
          <w:sz w:val="20"/>
        </w:rPr>
        <w:t> </w:t>
      </w:r>
      <w:r>
        <w:rPr>
          <w:i/>
          <w:sz w:val="20"/>
        </w:rPr>
        <w:t>dezembro</w:t>
      </w:r>
      <w:r>
        <w:rPr>
          <w:i/>
          <w:spacing w:val="-4"/>
          <w:sz w:val="20"/>
        </w:rPr>
        <w:t> </w:t>
      </w:r>
      <w:r>
        <w:rPr>
          <w:i/>
          <w:sz w:val="20"/>
        </w:rPr>
        <w:t>(Em</w:t>
      </w:r>
      <w:r>
        <w:rPr>
          <w:i/>
          <w:spacing w:val="-3"/>
          <w:sz w:val="20"/>
        </w:rPr>
        <w:t> </w:t>
      </w:r>
      <w:r>
        <w:rPr>
          <w:i/>
          <w:sz w:val="20"/>
        </w:rPr>
        <w:t>milhares</w:t>
      </w:r>
      <w:r>
        <w:rPr>
          <w:i/>
          <w:spacing w:val="-3"/>
          <w:sz w:val="20"/>
        </w:rPr>
        <w:t> </w:t>
      </w:r>
      <w:r>
        <w:rPr>
          <w:i/>
          <w:sz w:val="20"/>
        </w:rPr>
        <w:t>de</w:t>
      </w:r>
      <w:r>
        <w:rPr>
          <w:i/>
          <w:spacing w:val="-4"/>
          <w:sz w:val="20"/>
        </w:rPr>
        <w:t> </w:t>
      </w:r>
      <w:r>
        <w:rPr>
          <w:i/>
          <w:sz w:val="20"/>
        </w:rPr>
        <w:t>reais,</w:t>
      </w:r>
      <w:r>
        <w:rPr>
          <w:i/>
          <w:spacing w:val="-4"/>
          <w:sz w:val="20"/>
        </w:rPr>
        <w:t> </w:t>
      </w:r>
      <w:r>
        <w:rPr>
          <w:i/>
          <w:sz w:val="20"/>
        </w:rPr>
        <w:t>exceto</w:t>
      </w:r>
      <w:r>
        <w:rPr>
          <w:i/>
          <w:spacing w:val="-4"/>
          <w:sz w:val="20"/>
        </w:rPr>
        <w:t> </w:t>
      </w:r>
      <w:r>
        <w:rPr>
          <w:i/>
          <w:sz w:val="20"/>
        </w:rPr>
        <w:t>quando</w:t>
      </w:r>
      <w:r>
        <w:rPr>
          <w:i/>
          <w:spacing w:val="-3"/>
          <w:sz w:val="20"/>
        </w:rPr>
        <w:t> </w:t>
      </w:r>
      <w:r>
        <w:rPr>
          <w:i/>
          <w:sz w:val="20"/>
        </w:rPr>
        <w:t>indicado</w:t>
      </w:r>
      <w:r>
        <w:rPr>
          <w:i/>
          <w:spacing w:val="-3"/>
          <w:sz w:val="20"/>
        </w:rPr>
        <w:t> </w:t>
      </w:r>
      <w:r>
        <w:rPr>
          <w:i/>
          <w:sz w:val="20"/>
        </w:rPr>
        <w:t>em</w:t>
      </w:r>
      <w:r>
        <w:rPr>
          <w:i/>
          <w:spacing w:val="-3"/>
          <w:sz w:val="20"/>
        </w:rPr>
        <w:t> </w:t>
      </w:r>
      <w:r>
        <w:rPr>
          <w:i/>
          <w:spacing w:val="-2"/>
          <w:sz w:val="20"/>
        </w:rPr>
        <w:t>contrário)</w:t>
      </w:r>
    </w:p>
    <w:p>
      <w:pPr>
        <w:pStyle w:val="BodyText"/>
        <w:spacing w:before="87"/>
        <w:rPr>
          <w:i/>
          <w:sz w:val="20"/>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10"/>
        <w:gridCol w:w="2483"/>
        <w:gridCol w:w="1346"/>
        <w:gridCol w:w="54"/>
        <w:gridCol w:w="60"/>
      </w:tblGrid>
      <w:tr>
        <w:trPr>
          <w:trHeight w:val="150" w:hRule="atLeast"/>
        </w:trPr>
        <w:tc>
          <w:tcPr>
            <w:tcW w:w="6410" w:type="dxa"/>
          </w:tcPr>
          <w:p>
            <w:pPr>
              <w:pStyle w:val="TableParagraph"/>
              <w:rPr>
                <w:rFonts w:ascii="Times New Roman"/>
                <w:sz w:val="8"/>
              </w:rPr>
            </w:pPr>
          </w:p>
        </w:tc>
        <w:tc>
          <w:tcPr>
            <w:tcW w:w="2483" w:type="dxa"/>
            <w:tcBorders>
              <w:bottom w:val="single" w:sz="24" w:space="0" w:color="000000"/>
            </w:tcBorders>
          </w:tcPr>
          <w:p>
            <w:pPr>
              <w:pStyle w:val="TableParagraph"/>
              <w:spacing w:line="116" w:lineRule="exact"/>
              <w:ind w:right="679"/>
              <w:jc w:val="right"/>
              <w:rPr>
                <w:b/>
                <w:sz w:val="18"/>
              </w:rPr>
            </w:pPr>
            <w:r>
              <w:rPr>
                <w:b/>
                <w:spacing w:val="-4"/>
                <w:sz w:val="18"/>
              </w:rPr>
              <w:t>2022</w:t>
            </w:r>
          </w:p>
        </w:tc>
        <w:tc>
          <w:tcPr>
            <w:tcW w:w="1346" w:type="dxa"/>
            <w:tcBorders>
              <w:bottom w:val="single" w:sz="24" w:space="0" w:color="000000"/>
            </w:tcBorders>
          </w:tcPr>
          <w:p>
            <w:pPr>
              <w:pStyle w:val="TableParagraph"/>
              <w:spacing w:line="116" w:lineRule="exact"/>
              <w:ind w:right="-15"/>
              <w:jc w:val="right"/>
              <w:rPr>
                <w:b/>
                <w:sz w:val="18"/>
              </w:rPr>
            </w:pPr>
            <w:r>
              <w:rPr>
                <w:b/>
                <w:spacing w:val="-4"/>
                <w:sz w:val="18"/>
              </w:rPr>
              <w:t>2021</w:t>
            </w:r>
          </w:p>
        </w:tc>
        <w:tc>
          <w:tcPr>
            <w:tcW w:w="54" w:type="dxa"/>
            <w:tcBorders>
              <w:bottom w:val="single" w:sz="24" w:space="0" w:color="000000"/>
            </w:tcBorders>
          </w:tcPr>
          <w:p>
            <w:pPr>
              <w:pStyle w:val="TableParagraph"/>
              <w:rPr>
                <w:rFonts w:ascii="Times New Roman"/>
                <w:sz w:val="8"/>
              </w:rPr>
            </w:pPr>
          </w:p>
        </w:tc>
        <w:tc>
          <w:tcPr>
            <w:tcW w:w="60" w:type="dxa"/>
            <w:vMerge w:val="restart"/>
            <w:tcBorders>
              <w:bottom w:val="single" w:sz="18" w:space="0" w:color="000000"/>
            </w:tcBorders>
          </w:tcPr>
          <w:p>
            <w:pPr>
              <w:pStyle w:val="TableParagraph"/>
              <w:rPr>
                <w:rFonts w:ascii="Times New Roman"/>
                <w:sz w:val="18"/>
              </w:rPr>
            </w:pPr>
          </w:p>
        </w:tc>
      </w:tr>
      <w:tr>
        <w:trPr>
          <w:trHeight w:val="221" w:hRule="atLeast"/>
        </w:trPr>
        <w:tc>
          <w:tcPr>
            <w:tcW w:w="6410" w:type="dxa"/>
          </w:tcPr>
          <w:p>
            <w:pPr>
              <w:pStyle w:val="TableParagraph"/>
              <w:spacing w:line="210" w:lineRule="exact" w:before="5"/>
              <w:ind w:left="50"/>
              <w:rPr>
                <w:b/>
                <w:sz w:val="18"/>
              </w:rPr>
            </w:pPr>
            <w:r>
              <w:rPr>
                <w:b/>
                <w:spacing w:val="-2"/>
                <w:sz w:val="18"/>
              </w:rPr>
              <w:t>Receitas</w:t>
            </w:r>
          </w:p>
        </w:tc>
        <w:tc>
          <w:tcPr>
            <w:tcW w:w="2483" w:type="dxa"/>
            <w:tcBorders>
              <w:top w:val="single" w:sz="24" w:space="0" w:color="000000"/>
            </w:tcBorders>
          </w:tcPr>
          <w:p>
            <w:pPr>
              <w:pStyle w:val="TableParagraph"/>
              <w:rPr>
                <w:rFonts w:ascii="Times New Roman"/>
                <w:sz w:val="16"/>
              </w:rPr>
            </w:pPr>
          </w:p>
        </w:tc>
        <w:tc>
          <w:tcPr>
            <w:tcW w:w="1346" w:type="dxa"/>
            <w:tcBorders>
              <w:top w:val="single" w:sz="24" w:space="0" w:color="000000"/>
            </w:tcBorders>
          </w:tcPr>
          <w:p>
            <w:pPr>
              <w:pStyle w:val="TableParagraph"/>
              <w:rPr>
                <w:rFonts w:ascii="Times New Roman"/>
                <w:sz w:val="16"/>
              </w:rPr>
            </w:pPr>
          </w:p>
        </w:tc>
        <w:tc>
          <w:tcPr>
            <w:tcW w:w="54" w:type="dxa"/>
            <w:tcBorders>
              <w:top w:val="single" w:sz="24" w:space="0" w:color="000000"/>
            </w:tcBorders>
          </w:tcPr>
          <w:p>
            <w:pPr>
              <w:pStyle w:val="TableParagraph"/>
              <w:rPr>
                <w:rFonts w:ascii="Times New Roman"/>
                <w:sz w:val="16"/>
              </w:rPr>
            </w:pPr>
          </w:p>
        </w:tc>
        <w:tc>
          <w:tcPr>
            <w:tcW w:w="60" w:type="dxa"/>
            <w:vMerge/>
            <w:tcBorders>
              <w:top w:val="nil"/>
              <w:bottom w:val="single" w:sz="18" w:space="0" w:color="000000"/>
            </w:tcBorders>
          </w:tcPr>
          <w:p>
            <w:pPr>
              <w:rPr>
                <w:sz w:val="2"/>
                <w:szCs w:val="2"/>
              </w:rPr>
            </w:pPr>
          </w:p>
        </w:tc>
      </w:tr>
      <w:tr>
        <w:trPr>
          <w:trHeight w:val="244" w:hRule="atLeast"/>
        </w:trPr>
        <w:tc>
          <w:tcPr>
            <w:tcW w:w="6410" w:type="dxa"/>
          </w:tcPr>
          <w:p>
            <w:pPr>
              <w:pStyle w:val="TableParagraph"/>
              <w:spacing w:line="197" w:lineRule="exact"/>
              <w:ind w:left="50"/>
              <w:rPr>
                <w:sz w:val="18"/>
              </w:rPr>
            </w:pPr>
            <w:r>
              <w:rPr>
                <w:sz w:val="18"/>
              </w:rPr>
              <w:t>Outras</w:t>
            </w:r>
            <w:r>
              <w:rPr>
                <w:spacing w:val="-5"/>
                <w:sz w:val="18"/>
              </w:rPr>
              <w:t> </w:t>
            </w:r>
            <w:r>
              <w:rPr>
                <w:spacing w:val="-2"/>
                <w:sz w:val="18"/>
              </w:rPr>
              <w:t>receitas</w:t>
            </w:r>
          </w:p>
        </w:tc>
        <w:tc>
          <w:tcPr>
            <w:tcW w:w="2483" w:type="dxa"/>
          </w:tcPr>
          <w:p>
            <w:pPr>
              <w:pStyle w:val="TableParagraph"/>
              <w:spacing w:line="211" w:lineRule="exact" w:before="13"/>
              <w:ind w:right="679"/>
              <w:jc w:val="right"/>
              <w:rPr>
                <w:sz w:val="18"/>
              </w:rPr>
            </w:pPr>
            <w:r>
              <w:rPr>
                <w:spacing w:val="-5"/>
                <w:sz w:val="18"/>
              </w:rPr>
              <w:t>198</w:t>
            </w:r>
          </w:p>
        </w:tc>
        <w:tc>
          <w:tcPr>
            <w:tcW w:w="1346" w:type="dxa"/>
          </w:tcPr>
          <w:p>
            <w:pPr>
              <w:pStyle w:val="TableParagraph"/>
              <w:spacing w:line="211" w:lineRule="exact" w:before="13"/>
              <w:ind w:right="56"/>
              <w:jc w:val="right"/>
              <w:rPr>
                <w:sz w:val="18"/>
              </w:rPr>
            </w:pPr>
            <w:r>
              <w:rPr>
                <w:spacing w:val="-2"/>
                <w:sz w:val="18"/>
              </w:rPr>
              <w:t>9.511</w:t>
            </w:r>
          </w:p>
        </w:tc>
        <w:tc>
          <w:tcPr>
            <w:tcW w:w="54" w:type="dxa"/>
          </w:tcPr>
          <w:p>
            <w:pPr>
              <w:pStyle w:val="TableParagraph"/>
              <w:rPr>
                <w:rFonts w:ascii="Times New Roman"/>
                <w:sz w:val="16"/>
              </w:rPr>
            </w:pPr>
          </w:p>
        </w:tc>
        <w:tc>
          <w:tcPr>
            <w:tcW w:w="60" w:type="dxa"/>
            <w:vMerge/>
            <w:tcBorders>
              <w:top w:val="nil"/>
              <w:bottom w:val="single" w:sz="18" w:space="0" w:color="000000"/>
            </w:tcBorders>
          </w:tcPr>
          <w:p>
            <w:pPr>
              <w:rPr>
                <w:sz w:val="2"/>
                <w:szCs w:val="2"/>
              </w:rPr>
            </w:pPr>
          </w:p>
        </w:tc>
      </w:tr>
      <w:tr>
        <w:trPr>
          <w:trHeight w:val="164" w:hRule="atLeast"/>
        </w:trPr>
        <w:tc>
          <w:tcPr>
            <w:tcW w:w="6410" w:type="dxa"/>
          </w:tcPr>
          <w:p>
            <w:pPr>
              <w:pStyle w:val="TableParagraph"/>
              <w:spacing w:line="131" w:lineRule="exact"/>
              <w:ind w:left="50"/>
              <w:rPr>
                <w:sz w:val="18"/>
              </w:rPr>
            </w:pPr>
            <w:r>
              <w:rPr>
                <w:sz w:val="18"/>
              </w:rPr>
              <w:t>Reversão</w:t>
            </w:r>
            <w:r>
              <w:rPr>
                <w:spacing w:val="-4"/>
                <w:sz w:val="18"/>
              </w:rPr>
              <w:t> </w:t>
            </w:r>
            <w:r>
              <w:rPr>
                <w:sz w:val="18"/>
              </w:rPr>
              <w:t>de</w:t>
            </w:r>
            <w:r>
              <w:rPr>
                <w:spacing w:val="-3"/>
                <w:sz w:val="18"/>
              </w:rPr>
              <w:t> </w:t>
            </w:r>
            <w:r>
              <w:rPr>
                <w:sz w:val="18"/>
              </w:rPr>
              <w:t>créditos</w:t>
            </w:r>
            <w:r>
              <w:rPr>
                <w:spacing w:val="-2"/>
                <w:sz w:val="18"/>
              </w:rPr>
              <w:t> </w:t>
            </w:r>
            <w:r>
              <w:rPr>
                <w:sz w:val="18"/>
              </w:rPr>
              <w:t>esperadas</w:t>
            </w:r>
            <w:r>
              <w:rPr>
                <w:spacing w:val="-4"/>
                <w:sz w:val="18"/>
              </w:rPr>
              <w:t> </w:t>
            </w:r>
            <w:r>
              <w:rPr>
                <w:sz w:val="18"/>
              </w:rPr>
              <w:t>‐</w:t>
            </w:r>
            <w:r>
              <w:rPr>
                <w:spacing w:val="-2"/>
                <w:sz w:val="18"/>
              </w:rPr>
              <w:t> </w:t>
            </w:r>
            <w:r>
              <w:rPr>
                <w:spacing w:val="-5"/>
                <w:sz w:val="18"/>
              </w:rPr>
              <w:t>PCE</w:t>
            </w:r>
          </w:p>
        </w:tc>
        <w:tc>
          <w:tcPr>
            <w:tcW w:w="2483" w:type="dxa"/>
            <w:tcBorders>
              <w:bottom w:val="single" w:sz="24" w:space="0" w:color="000000"/>
            </w:tcBorders>
          </w:tcPr>
          <w:p>
            <w:pPr>
              <w:pStyle w:val="TableParagraph"/>
              <w:spacing w:line="131" w:lineRule="exact"/>
              <w:ind w:right="679"/>
              <w:jc w:val="right"/>
              <w:rPr>
                <w:sz w:val="18"/>
              </w:rPr>
            </w:pPr>
            <w:r>
              <w:rPr>
                <w:spacing w:val="-5"/>
                <w:sz w:val="18"/>
              </w:rPr>
              <w:t>226</w:t>
            </w:r>
          </w:p>
        </w:tc>
        <w:tc>
          <w:tcPr>
            <w:tcW w:w="1346" w:type="dxa"/>
            <w:tcBorders>
              <w:bottom w:val="single" w:sz="24" w:space="0" w:color="000000"/>
            </w:tcBorders>
          </w:tcPr>
          <w:p>
            <w:pPr>
              <w:pStyle w:val="TableParagraph"/>
              <w:spacing w:line="131" w:lineRule="exact"/>
              <w:ind w:right="-15"/>
              <w:jc w:val="right"/>
              <w:rPr>
                <w:sz w:val="18"/>
              </w:rPr>
            </w:pPr>
            <w:r>
              <w:rPr>
                <w:spacing w:val="-5"/>
                <w:sz w:val="18"/>
              </w:rPr>
              <w:t>409</w:t>
            </w:r>
          </w:p>
        </w:tc>
        <w:tc>
          <w:tcPr>
            <w:tcW w:w="54" w:type="dxa"/>
            <w:tcBorders>
              <w:bottom w:val="single" w:sz="24" w:space="0" w:color="000000"/>
            </w:tcBorders>
          </w:tcPr>
          <w:p>
            <w:pPr>
              <w:pStyle w:val="TableParagraph"/>
              <w:rPr>
                <w:rFonts w:ascii="Times New Roman"/>
                <w:sz w:val="8"/>
              </w:rPr>
            </w:pPr>
          </w:p>
        </w:tc>
        <w:tc>
          <w:tcPr>
            <w:tcW w:w="60" w:type="dxa"/>
            <w:vMerge/>
            <w:tcBorders>
              <w:top w:val="nil"/>
              <w:bottom w:val="single" w:sz="18" w:space="0" w:color="000000"/>
            </w:tcBorders>
          </w:tcPr>
          <w:p>
            <w:pPr>
              <w:rPr>
                <w:sz w:val="2"/>
                <w:szCs w:val="2"/>
              </w:rPr>
            </w:pPr>
          </w:p>
        </w:tc>
      </w:tr>
      <w:tr>
        <w:trPr>
          <w:trHeight w:val="461" w:hRule="atLeast"/>
        </w:trPr>
        <w:tc>
          <w:tcPr>
            <w:tcW w:w="6410" w:type="dxa"/>
          </w:tcPr>
          <w:p>
            <w:pPr>
              <w:pStyle w:val="TableParagraph"/>
              <w:spacing w:before="28"/>
              <w:rPr>
                <w:i/>
                <w:sz w:val="18"/>
              </w:rPr>
            </w:pPr>
          </w:p>
          <w:p>
            <w:pPr>
              <w:pStyle w:val="TableParagraph"/>
              <w:spacing w:line="207" w:lineRule="exact"/>
              <w:ind w:left="50"/>
              <w:rPr>
                <w:b/>
                <w:sz w:val="18"/>
              </w:rPr>
            </w:pPr>
            <w:r>
              <w:rPr>
                <w:b/>
                <w:sz w:val="18"/>
              </w:rPr>
              <w:t>Insumos</w:t>
            </w:r>
            <w:r>
              <w:rPr>
                <w:b/>
                <w:spacing w:val="-2"/>
                <w:sz w:val="18"/>
              </w:rPr>
              <w:t> </w:t>
            </w:r>
            <w:r>
              <w:rPr>
                <w:b/>
                <w:sz w:val="18"/>
              </w:rPr>
              <w:t>adquiridos</w:t>
            </w:r>
            <w:r>
              <w:rPr>
                <w:b/>
                <w:spacing w:val="-3"/>
                <w:sz w:val="18"/>
              </w:rPr>
              <w:t> </w:t>
            </w:r>
            <w:r>
              <w:rPr>
                <w:b/>
                <w:sz w:val="18"/>
              </w:rPr>
              <w:t>de</w:t>
            </w:r>
            <w:r>
              <w:rPr>
                <w:b/>
                <w:spacing w:val="-1"/>
                <w:sz w:val="18"/>
              </w:rPr>
              <w:t> </w:t>
            </w:r>
            <w:r>
              <w:rPr>
                <w:b/>
                <w:spacing w:val="-2"/>
                <w:sz w:val="18"/>
              </w:rPr>
              <w:t>terceiros</w:t>
            </w:r>
          </w:p>
        </w:tc>
        <w:tc>
          <w:tcPr>
            <w:tcW w:w="2483" w:type="dxa"/>
            <w:tcBorders>
              <w:top w:val="single" w:sz="24" w:space="0" w:color="000000"/>
            </w:tcBorders>
          </w:tcPr>
          <w:p>
            <w:pPr>
              <w:pStyle w:val="TableParagraph"/>
              <w:spacing w:before="23"/>
              <w:ind w:right="679"/>
              <w:jc w:val="right"/>
              <w:rPr>
                <w:sz w:val="18"/>
              </w:rPr>
            </w:pPr>
            <w:r>
              <w:rPr>
                <w:spacing w:val="-5"/>
                <w:sz w:val="18"/>
              </w:rPr>
              <w:t>424</w:t>
            </w:r>
          </w:p>
        </w:tc>
        <w:tc>
          <w:tcPr>
            <w:tcW w:w="1346" w:type="dxa"/>
            <w:tcBorders>
              <w:top w:val="single" w:sz="24" w:space="0" w:color="000000"/>
            </w:tcBorders>
          </w:tcPr>
          <w:p>
            <w:pPr>
              <w:pStyle w:val="TableParagraph"/>
              <w:spacing w:before="23"/>
              <w:ind w:right="56"/>
              <w:jc w:val="right"/>
              <w:rPr>
                <w:sz w:val="18"/>
              </w:rPr>
            </w:pPr>
            <w:r>
              <w:rPr>
                <w:spacing w:val="-2"/>
                <w:sz w:val="18"/>
              </w:rPr>
              <w:t>9.920</w:t>
            </w:r>
          </w:p>
        </w:tc>
        <w:tc>
          <w:tcPr>
            <w:tcW w:w="54" w:type="dxa"/>
            <w:tcBorders>
              <w:top w:val="single" w:sz="24" w:space="0" w:color="000000"/>
            </w:tcBorders>
          </w:tcPr>
          <w:p>
            <w:pPr>
              <w:pStyle w:val="TableParagraph"/>
              <w:rPr>
                <w:rFonts w:ascii="Times New Roman"/>
                <w:sz w:val="18"/>
              </w:rPr>
            </w:pPr>
          </w:p>
        </w:tc>
        <w:tc>
          <w:tcPr>
            <w:tcW w:w="60" w:type="dxa"/>
            <w:vMerge/>
            <w:tcBorders>
              <w:top w:val="nil"/>
              <w:bottom w:val="single" w:sz="18" w:space="0" w:color="000000"/>
            </w:tcBorders>
          </w:tcPr>
          <w:p>
            <w:pPr>
              <w:rPr>
                <w:sz w:val="2"/>
                <w:szCs w:val="2"/>
              </w:rPr>
            </w:pPr>
          </w:p>
        </w:tc>
      </w:tr>
      <w:tr>
        <w:trPr>
          <w:trHeight w:val="242" w:hRule="atLeast"/>
        </w:trPr>
        <w:tc>
          <w:tcPr>
            <w:tcW w:w="6410" w:type="dxa"/>
          </w:tcPr>
          <w:p>
            <w:pPr>
              <w:pStyle w:val="TableParagraph"/>
              <w:spacing w:line="194" w:lineRule="exact"/>
              <w:ind w:left="50"/>
              <w:rPr>
                <w:sz w:val="18"/>
              </w:rPr>
            </w:pPr>
            <w:r>
              <w:rPr>
                <w:sz w:val="18"/>
              </w:rPr>
              <w:t>Reversão</w:t>
            </w:r>
            <w:r>
              <w:rPr>
                <w:spacing w:val="-4"/>
                <w:sz w:val="18"/>
              </w:rPr>
              <w:t> </w:t>
            </w:r>
            <w:r>
              <w:rPr>
                <w:sz w:val="18"/>
              </w:rPr>
              <w:t>no</w:t>
            </w:r>
            <w:r>
              <w:rPr>
                <w:spacing w:val="-3"/>
                <w:sz w:val="18"/>
              </w:rPr>
              <w:t> </w:t>
            </w:r>
            <w:r>
              <w:rPr>
                <w:sz w:val="18"/>
              </w:rPr>
              <w:t>valor</w:t>
            </w:r>
            <w:r>
              <w:rPr>
                <w:spacing w:val="-3"/>
                <w:sz w:val="18"/>
              </w:rPr>
              <w:t> </w:t>
            </w:r>
            <w:r>
              <w:rPr>
                <w:sz w:val="18"/>
              </w:rPr>
              <w:t>de</w:t>
            </w:r>
            <w:r>
              <w:rPr>
                <w:spacing w:val="-3"/>
                <w:sz w:val="18"/>
              </w:rPr>
              <w:t> </w:t>
            </w:r>
            <w:r>
              <w:rPr>
                <w:sz w:val="18"/>
              </w:rPr>
              <w:t>recuperação</w:t>
            </w:r>
            <w:r>
              <w:rPr>
                <w:spacing w:val="-3"/>
                <w:sz w:val="18"/>
              </w:rPr>
              <w:t> </w:t>
            </w:r>
            <w:r>
              <w:rPr>
                <w:sz w:val="18"/>
              </w:rPr>
              <w:t>de</w:t>
            </w:r>
            <w:r>
              <w:rPr>
                <w:spacing w:val="-2"/>
                <w:sz w:val="18"/>
              </w:rPr>
              <w:t> ativos</w:t>
            </w:r>
          </w:p>
        </w:tc>
        <w:tc>
          <w:tcPr>
            <w:tcW w:w="2483" w:type="dxa"/>
          </w:tcPr>
          <w:p>
            <w:pPr>
              <w:pStyle w:val="TableParagraph"/>
              <w:spacing w:line="197" w:lineRule="exact" w:before="25"/>
              <w:ind w:right="676"/>
              <w:jc w:val="right"/>
              <w:rPr>
                <w:sz w:val="18"/>
              </w:rPr>
            </w:pPr>
            <w:r>
              <w:rPr>
                <w:spacing w:val="-10"/>
                <w:sz w:val="18"/>
              </w:rPr>
              <w:t>‐</w:t>
            </w:r>
          </w:p>
        </w:tc>
        <w:tc>
          <w:tcPr>
            <w:tcW w:w="1346" w:type="dxa"/>
          </w:tcPr>
          <w:p>
            <w:pPr>
              <w:pStyle w:val="TableParagraph"/>
              <w:spacing w:line="197" w:lineRule="exact" w:before="25"/>
              <w:ind w:right="56"/>
              <w:jc w:val="right"/>
              <w:rPr>
                <w:sz w:val="18"/>
              </w:rPr>
            </w:pPr>
            <w:r>
              <w:rPr>
                <w:spacing w:val="-2"/>
                <w:sz w:val="18"/>
              </w:rPr>
              <w:t>1.225</w:t>
            </w:r>
          </w:p>
        </w:tc>
        <w:tc>
          <w:tcPr>
            <w:tcW w:w="54" w:type="dxa"/>
          </w:tcPr>
          <w:p>
            <w:pPr>
              <w:pStyle w:val="TableParagraph"/>
              <w:rPr>
                <w:rFonts w:ascii="Times New Roman"/>
                <w:sz w:val="16"/>
              </w:rPr>
            </w:pPr>
          </w:p>
        </w:tc>
        <w:tc>
          <w:tcPr>
            <w:tcW w:w="60" w:type="dxa"/>
            <w:vMerge/>
            <w:tcBorders>
              <w:top w:val="nil"/>
              <w:bottom w:val="single" w:sz="18" w:space="0" w:color="000000"/>
            </w:tcBorders>
          </w:tcPr>
          <w:p>
            <w:pPr>
              <w:rPr>
                <w:sz w:val="2"/>
                <w:szCs w:val="2"/>
              </w:rPr>
            </w:pPr>
          </w:p>
        </w:tc>
      </w:tr>
      <w:tr>
        <w:trPr>
          <w:trHeight w:val="223" w:hRule="atLeast"/>
        </w:trPr>
        <w:tc>
          <w:tcPr>
            <w:tcW w:w="6410" w:type="dxa"/>
          </w:tcPr>
          <w:p>
            <w:pPr>
              <w:pStyle w:val="TableParagraph"/>
              <w:spacing w:line="184" w:lineRule="exact"/>
              <w:ind w:left="50"/>
              <w:rPr>
                <w:sz w:val="18"/>
              </w:rPr>
            </w:pPr>
            <w:r>
              <w:rPr>
                <w:spacing w:val="-2"/>
                <w:sz w:val="18"/>
              </w:rPr>
              <w:t>Materiais</w:t>
            </w:r>
          </w:p>
        </w:tc>
        <w:tc>
          <w:tcPr>
            <w:tcW w:w="2483" w:type="dxa"/>
          </w:tcPr>
          <w:p>
            <w:pPr>
              <w:pStyle w:val="TableParagraph"/>
              <w:spacing w:line="197" w:lineRule="exact" w:before="7"/>
              <w:ind w:right="678"/>
              <w:jc w:val="right"/>
              <w:rPr>
                <w:sz w:val="18"/>
              </w:rPr>
            </w:pPr>
            <w:r>
              <w:rPr>
                <w:spacing w:val="-2"/>
                <w:sz w:val="18"/>
              </w:rPr>
              <w:t>(1.600)</w:t>
            </w:r>
          </w:p>
        </w:tc>
        <w:tc>
          <w:tcPr>
            <w:tcW w:w="1346" w:type="dxa"/>
          </w:tcPr>
          <w:p>
            <w:pPr>
              <w:pStyle w:val="TableParagraph"/>
              <w:spacing w:line="197" w:lineRule="exact" w:before="7"/>
              <w:ind w:right="53"/>
              <w:jc w:val="right"/>
              <w:rPr>
                <w:sz w:val="18"/>
              </w:rPr>
            </w:pPr>
            <w:r>
              <w:rPr>
                <w:spacing w:val="-2"/>
                <w:sz w:val="18"/>
              </w:rPr>
              <w:t>(1.894)</w:t>
            </w:r>
          </w:p>
        </w:tc>
        <w:tc>
          <w:tcPr>
            <w:tcW w:w="54" w:type="dxa"/>
          </w:tcPr>
          <w:p>
            <w:pPr>
              <w:pStyle w:val="TableParagraph"/>
              <w:rPr>
                <w:rFonts w:ascii="Times New Roman"/>
                <w:sz w:val="14"/>
              </w:rPr>
            </w:pPr>
          </w:p>
        </w:tc>
        <w:tc>
          <w:tcPr>
            <w:tcW w:w="60" w:type="dxa"/>
            <w:vMerge/>
            <w:tcBorders>
              <w:top w:val="nil"/>
              <w:bottom w:val="single" w:sz="18" w:space="0" w:color="000000"/>
            </w:tcBorders>
          </w:tcPr>
          <w:p>
            <w:pPr>
              <w:rPr>
                <w:sz w:val="2"/>
                <w:szCs w:val="2"/>
              </w:rPr>
            </w:pPr>
          </w:p>
        </w:tc>
      </w:tr>
      <w:tr>
        <w:trPr>
          <w:trHeight w:val="225" w:hRule="atLeast"/>
        </w:trPr>
        <w:tc>
          <w:tcPr>
            <w:tcW w:w="6410" w:type="dxa"/>
          </w:tcPr>
          <w:p>
            <w:pPr>
              <w:pStyle w:val="TableParagraph"/>
              <w:spacing w:line="184" w:lineRule="exact"/>
              <w:ind w:left="50"/>
              <w:rPr>
                <w:sz w:val="18"/>
              </w:rPr>
            </w:pPr>
            <w:r>
              <w:rPr>
                <w:sz w:val="18"/>
              </w:rPr>
              <w:t>Energia,</w:t>
            </w:r>
            <w:r>
              <w:rPr>
                <w:spacing w:val="-5"/>
                <w:sz w:val="18"/>
              </w:rPr>
              <w:t> </w:t>
            </w:r>
            <w:r>
              <w:rPr>
                <w:sz w:val="18"/>
              </w:rPr>
              <w:t>serviços</w:t>
            </w:r>
            <w:r>
              <w:rPr>
                <w:spacing w:val="-3"/>
                <w:sz w:val="18"/>
              </w:rPr>
              <w:t> </w:t>
            </w:r>
            <w:r>
              <w:rPr>
                <w:sz w:val="18"/>
              </w:rPr>
              <w:t>de</w:t>
            </w:r>
            <w:r>
              <w:rPr>
                <w:spacing w:val="-3"/>
                <w:sz w:val="18"/>
              </w:rPr>
              <w:t> </w:t>
            </w:r>
            <w:r>
              <w:rPr>
                <w:sz w:val="18"/>
              </w:rPr>
              <w:t>terceiros</w:t>
            </w:r>
            <w:r>
              <w:rPr>
                <w:spacing w:val="-3"/>
                <w:sz w:val="18"/>
              </w:rPr>
              <w:t> </w:t>
            </w:r>
            <w:r>
              <w:rPr>
                <w:sz w:val="18"/>
              </w:rPr>
              <w:t>e</w:t>
            </w:r>
            <w:r>
              <w:rPr>
                <w:spacing w:val="-3"/>
                <w:sz w:val="18"/>
              </w:rPr>
              <w:t> </w:t>
            </w:r>
            <w:r>
              <w:rPr>
                <w:spacing w:val="-2"/>
                <w:sz w:val="18"/>
              </w:rPr>
              <w:t>outros</w:t>
            </w:r>
          </w:p>
        </w:tc>
        <w:tc>
          <w:tcPr>
            <w:tcW w:w="2483" w:type="dxa"/>
          </w:tcPr>
          <w:p>
            <w:pPr>
              <w:pStyle w:val="TableParagraph"/>
              <w:spacing w:line="197" w:lineRule="exact" w:before="8"/>
              <w:ind w:right="678"/>
              <w:jc w:val="right"/>
              <w:rPr>
                <w:sz w:val="18"/>
              </w:rPr>
            </w:pPr>
            <w:r>
              <w:rPr>
                <w:spacing w:val="-2"/>
                <w:sz w:val="18"/>
              </w:rPr>
              <w:t>(14.222)</w:t>
            </w:r>
          </w:p>
        </w:tc>
        <w:tc>
          <w:tcPr>
            <w:tcW w:w="1346" w:type="dxa"/>
          </w:tcPr>
          <w:p>
            <w:pPr>
              <w:pStyle w:val="TableParagraph"/>
              <w:spacing w:line="197" w:lineRule="exact" w:before="8"/>
              <w:ind w:right="53"/>
              <w:jc w:val="right"/>
              <w:rPr>
                <w:sz w:val="18"/>
              </w:rPr>
            </w:pPr>
            <w:r>
              <w:rPr>
                <w:spacing w:val="-2"/>
                <w:sz w:val="18"/>
              </w:rPr>
              <w:t>(18.369)</w:t>
            </w:r>
          </w:p>
        </w:tc>
        <w:tc>
          <w:tcPr>
            <w:tcW w:w="54" w:type="dxa"/>
          </w:tcPr>
          <w:p>
            <w:pPr>
              <w:pStyle w:val="TableParagraph"/>
              <w:rPr>
                <w:rFonts w:ascii="Times New Roman"/>
                <w:sz w:val="16"/>
              </w:rPr>
            </w:pPr>
          </w:p>
        </w:tc>
        <w:tc>
          <w:tcPr>
            <w:tcW w:w="60" w:type="dxa"/>
            <w:vMerge/>
            <w:tcBorders>
              <w:top w:val="nil"/>
              <w:bottom w:val="single" w:sz="18" w:space="0" w:color="000000"/>
            </w:tcBorders>
          </w:tcPr>
          <w:p>
            <w:pPr>
              <w:rPr>
                <w:sz w:val="2"/>
                <w:szCs w:val="2"/>
              </w:rPr>
            </w:pPr>
          </w:p>
        </w:tc>
      </w:tr>
      <w:tr>
        <w:trPr>
          <w:trHeight w:val="200" w:hRule="atLeast"/>
        </w:trPr>
        <w:tc>
          <w:tcPr>
            <w:tcW w:w="6410" w:type="dxa"/>
          </w:tcPr>
          <w:p>
            <w:pPr>
              <w:pStyle w:val="TableParagraph"/>
              <w:spacing w:line="161" w:lineRule="exact"/>
              <w:ind w:left="50"/>
              <w:rPr>
                <w:sz w:val="18"/>
              </w:rPr>
            </w:pPr>
            <w:r>
              <w:rPr>
                <w:sz w:val="18"/>
              </w:rPr>
              <w:t>Outras</w:t>
            </w:r>
            <w:r>
              <w:rPr>
                <w:spacing w:val="-5"/>
                <w:sz w:val="18"/>
              </w:rPr>
              <w:t> </w:t>
            </w:r>
            <w:r>
              <w:rPr>
                <w:spacing w:val="-2"/>
                <w:sz w:val="18"/>
              </w:rPr>
              <w:t>despesas</w:t>
            </w:r>
          </w:p>
        </w:tc>
        <w:tc>
          <w:tcPr>
            <w:tcW w:w="2483" w:type="dxa"/>
            <w:tcBorders>
              <w:bottom w:val="single" w:sz="18" w:space="0" w:color="000000"/>
            </w:tcBorders>
          </w:tcPr>
          <w:p>
            <w:pPr>
              <w:pStyle w:val="TableParagraph"/>
              <w:spacing w:line="155" w:lineRule="exact" w:before="6"/>
              <w:ind w:right="678"/>
              <w:jc w:val="right"/>
              <w:rPr>
                <w:sz w:val="18"/>
              </w:rPr>
            </w:pPr>
            <w:r>
              <w:rPr>
                <w:spacing w:val="-2"/>
                <w:sz w:val="18"/>
              </w:rPr>
              <w:t>(2.214)</w:t>
            </w:r>
          </w:p>
        </w:tc>
        <w:tc>
          <w:tcPr>
            <w:tcW w:w="1346" w:type="dxa"/>
            <w:tcBorders>
              <w:bottom w:val="single" w:sz="18" w:space="0" w:color="000000"/>
            </w:tcBorders>
          </w:tcPr>
          <w:p>
            <w:pPr>
              <w:pStyle w:val="TableParagraph"/>
              <w:spacing w:line="155" w:lineRule="exact" w:before="6"/>
              <w:jc w:val="right"/>
              <w:rPr>
                <w:sz w:val="18"/>
              </w:rPr>
            </w:pPr>
            <w:r>
              <w:rPr>
                <w:spacing w:val="-2"/>
                <w:sz w:val="18"/>
              </w:rPr>
              <w:t>(5.181)</w:t>
            </w:r>
          </w:p>
        </w:tc>
        <w:tc>
          <w:tcPr>
            <w:tcW w:w="54" w:type="dxa"/>
            <w:tcBorders>
              <w:bottom w:val="single" w:sz="18" w:space="0" w:color="000000"/>
            </w:tcBorders>
          </w:tcPr>
          <w:p>
            <w:pPr>
              <w:pStyle w:val="TableParagraph"/>
              <w:rPr>
                <w:rFonts w:ascii="Times New Roman"/>
                <w:sz w:val="12"/>
              </w:rPr>
            </w:pPr>
          </w:p>
        </w:tc>
        <w:tc>
          <w:tcPr>
            <w:tcW w:w="60" w:type="dxa"/>
            <w:vMerge/>
            <w:tcBorders>
              <w:top w:val="nil"/>
              <w:bottom w:val="single" w:sz="18" w:space="0" w:color="000000"/>
            </w:tcBorders>
          </w:tcPr>
          <w:p>
            <w:pPr>
              <w:rPr>
                <w:sz w:val="2"/>
                <w:szCs w:val="2"/>
              </w:rPr>
            </w:pPr>
          </w:p>
        </w:tc>
      </w:tr>
      <w:tr>
        <w:trPr>
          <w:trHeight w:val="519" w:hRule="atLeast"/>
        </w:trPr>
        <w:tc>
          <w:tcPr>
            <w:tcW w:w="6410" w:type="dxa"/>
          </w:tcPr>
          <w:p>
            <w:pPr>
              <w:pStyle w:val="TableParagraph"/>
              <w:rPr>
                <w:rFonts w:ascii="Times New Roman"/>
                <w:sz w:val="18"/>
              </w:rPr>
            </w:pPr>
          </w:p>
        </w:tc>
        <w:tc>
          <w:tcPr>
            <w:tcW w:w="2483" w:type="dxa"/>
            <w:tcBorders>
              <w:top w:val="single" w:sz="18" w:space="0" w:color="000000"/>
              <w:bottom w:val="single" w:sz="4" w:space="0" w:color="000000"/>
            </w:tcBorders>
          </w:tcPr>
          <w:p>
            <w:pPr>
              <w:pStyle w:val="TableParagraph"/>
              <w:spacing w:before="49"/>
              <w:ind w:right="678"/>
              <w:jc w:val="right"/>
              <w:rPr>
                <w:sz w:val="18"/>
              </w:rPr>
            </w:pPr>
            <w:r>
              <w:rPr>
                <w:spacing w:val="-2"/>
                <w:sz w:val="18"/>
              </w:rPr>
              <w:t>(18.036)</w:t>
            </w:r>
          </w:p>
        </w:tc>
        <w:tc>
          <w:tcPr>
            <w:tcW w:w="1346" w:type="dxa"/>
            <w:tcBorders>
              <w:top w:val="single" w:sz="18" w:space="0" w:color="000000"/>
              <w:bottom w:val="single" w:sz="4" w:space="0" w:color="000000"/>
            </w:tcBorders>
          </w:tcPr>
          <w:p>
            <w:pPr>
              <w:pStyle w:val="TableParagraph"/>
              <w:spacing w:before="49"/>
              <w:ind w:right="53"/>
              <w:jc w:val="right"/>
              <w:rPr>
                <w:sz w:val="18"/>
              </w:rPr>
            </w:pPr>
            <w:r>
              <w:rPr>
                <w:spacing w:val="-2"/>
                <w:sz w:val="18"/>
              </w:rPr>
              <w:t>(24.219)</w:t>
            </w:r>
          </w:p>
        </w:tc>
        <w:tc>
          <w:tcPr>
            <w:tcW w:w="54" w:type="dxa"/>
            <w:tcBorders>
              <w:top w:val="single" w:sz="18" w:space="0" w:color="000000"/>
            </w:tcBorders>
          </w:tcPr>
          <w:p>
            <w:pPr>
              <w:pStyle w:val="TableParagraph"/>
              <w:rPr>
                <w:rFonts w:ascii="Times New Roman"/>
                <w:sz w:val="18"/>
              </w:rPr>
            </w:pPr>
          </w:p>
        </w:tc>
        <w:tc>
          <w:tcPr>
            <w:tcW w:w="60" w:type="dxa"/>
            <w:tcBorders>
              <w:top w:val="single" w:sz="18" w:space="0" w:color="000000"/>
            </w:tcBorders>
          </w:tcPr>
          <w:p>
            <w:pPr>
              <w:pStyle w:val="TableParagraph"/>
              <w:rPr>
                <w:rFonts w:ascii="Times New Roman"/>
                <w:sz w:val="18"/>
              </w:rPr>
            </w:pPr>
          </w:p>
        </w:tc>
      </w:tr>
      <w:tr>
        <w:trPr>
          <w:trHeight w:val="207" w:hRule="atLeast"/>
        </w:trPr>
        <w:tc>
          <w:tcPr>
            <w:tcW w:w="6410" w:type="dxa"/>
          </w:tcPr>
          <w:p>
            <w:pPr>
              <w:pStyle w:val="TableParagraph"/>
              <w:spacing w:line="185" w:lineRule="exact" w:before="2"/>
              <w:ind w:left="50"/>
              <w:rPr>
                <w:sz w:val="18"/>
              </w:rPr>
            </w:pPr>
            <w:r>
              <w:rPr>
                <w:sz w:val="18"/>
              </w:rPr>
              <w:t>Valor</w:t>
            </w:r>
            <w:r>
              <w:rPr>
                <w:spacing w:val="-6"/>
                <w:sz w:val="18"/>
              </w:rPr>
              <w:t> </w:t>
            </w:r>
            <w:r>
              <w:rPr>
                <w:sz w:val="18"/>
              </w:rPr>
              <w:t>consumido</w:t>
            </w:r>
            <w:r>
              <w:rPr>
                <w:spacing w:val="-4"/>
                <w:sz w:val="18"/>
              </w:rPr>
              <w:t> </w:t>
            </w:r>
            <w:r>
              <w:rPr>
                <w:spacing w:val="-2"/>
                <w:sz w:val="18"/>
              </w:rPr>
              <w:t>bruto</w:t>
            </w:r>
          </w:p>
        </w:tc>
        <w:tc>
          <w:tcPr>
            <w:tcW w:w="2483" w:type="dxa"/>
            <w:tcBorders>
              <w:top w:val="single" w:sz="4" w:space="0" w:color="000000"/>
              <w:bottom w:val="single" w:sz="18" w:space="0" w:color="000000"/>
            </w:tcBorders>
          </w:tcPr>
          <w:p>
            <w:pPr>
              <w:pStyle w:val="TableParagraph"/>
              <w:spacing w:line="148" w:lineRule="exact" w:before="39"/>
              <w:ind w:right="678"/>
              <w:jc w:val="right"/>
              <w:rPr>
                <w:sz w:val="18"/>
              </w:rPr>
            </w:pPr>
            <w:r>
              <w:rPr>
                <w:spacing w:val="-2"/>
                <w:sz w:val="18"/>
              </w:rPr>
              <w:t>(17.612)</w:t>
            </w:r>
          </w:p>
        </w:tc>
        <w:tc>
          <w:tcPr>
            <w:tcW w:w="1346" w:type="dxa"/>
            <w:tcBorders>
              <w:top w:val="single" w:sz="4" w:space="0" w:color="000000"/>
              <w:bottom w:val="single" w:sz="18" w:space="0" w:color="000000"/>
            </w:tcBorders>
          </w:tcPr>
          <w:p>
            <w:pPr>
              <w:pStyle w:val="TableParagraph"/>
              <w:spacing w:line="148" w:lineRule="exact" w:before="39"/>
              <w:jc w:val="right"/>
              <w:rPr>
                <w:sz w:val="18"/>
              </w:rPr>
            </w:pPr>
            <w:r>
              <w:rPr>
                <w:spacing w:val="-2"/>
                <w:sz w:val="18"/>
              </w:rPr>
              <w:t>(14.299)</w:t>
            </w:r>
          </w:p>
        </w:tc>
        <w:tc>
          <w:tcPr>
            <w:tcW w:w="54" w:type="dxa"/>
            <w:tcBorders>
              <w:bottom w:val="single" w:sz="18" w:space="0" w:color="000000"/>
            </w:tcBorders>
          </w:tcPr>
          <w:p>
            <w:pPr>
              <w:pStyle w:val="TableParagraph"/>
              <w:rPr>
                <w:rFonts w:ascii="Times New Roman"/>
                <w:sz w:val="14"/>
              </w:rPr>
            </w:pPr>
          </w:p>
        </w:tc>
        <w:tc>
          <w:tcPr>
            <w:tcW w:w="60" w:type="dxa"/>
          </w:tcPr>
          <w:p>
            <w:pPr>
              <w:pStyle w:val="TableParagraph"/>
              <w:rPr>
                <w:rFonts w:ascii="Times New Roman"/>
                <w:sz w:val="14"/>
              </w:rPr>
            </w:pPr>
          </w:p>
        </w:tc>
      </w:tr>
      <w:tr>
        <w:trPr>
          <w:trHeight w:val="277" w:hRule="atLeast"/>
        </w:trPr>
        <w:tc>
          <w:tcPr>
            <w:tcW w:w="6410" w:type="dxa"/>
          </w:tcPr>
          <w:p>
            <w:pPr>
              <w:pStyle w:val="TableParagraph"/>
              <w:rPr>
                <w:rFonts w:ascii="Times New Roman"/>
                <w:sz w:val="18"/>
              </w:rPr>
            </w:pPr>
          </w:p>
        </w:tc>
        <w:tc>
          <w:tcPr>
            <w:tcW w:w="2483" w:type="dxa"/>
            <w:tcBorders>
              <w:top w:val="single" w:sz="18" w:space="0" w:color="000000"/>
              <w:bottom w:val="single" w:sz="4" w:space="0" w:color="000000"/>
            </w:tcBorders>
          </w:tcPr>
          <w:p>
            <w:pPr>
              <w:pStyle w:val="TableParagraph"/>
              <w:rPr>
                <w:rFonts w:ascii="Times New Roman"/>
                <w:sz w:val="18"/>
              </w:rPr>
            </w:pPr>
          </w:p>
        </w:tc>
        <w:tc>
          <w:tcPr>
            <w:tcW w:w="1346" w:type="dxa"/>
            <w:tcBorders>
              <w:top w:val="single" w:sz="18" w:space="0" w:color="000000"/>
              <w:bottom w:val="single" w:sz="4" w:space="0" w:color="000000"/>
            </w:tcBorders>
          </w:tcPr>
          <w:p>
            <w:pPr>
              <w:pStyle w:val="TableParagraph"/>
              <w:rPr>
                <w:rFonts w:ascii="Times New Roman"/>
                <w:sz w:val="18"/>
              </w:rPr>
            </w:pPr>
          </w:p>
        </w:tc>
        <w:tc>
          <w:tcPr>
            <w:tcW w:w="54" w:type="dxa"/>
            <w:tcBorders>
              <w:top w:val="single" w:sz="18" w:space="0" w:color="000000"/>
            </w:tcBorders>
          </w:tcPr>
          <w:p>
            <w:pPr>
              <w:pStyle w:val="TableParagraph"/>
              <w:rPr>
                <w:rFonts w:ascii="Times New Roman"/>
                <w:sz w:val="18"/>
              </w:rPr>
            </w:pPr>
          </w:p>
        </w:tc>
        <w:tc>
          <w:tcPr>
            <w:tcW w:w="60" w:type="dxa"/>
          </w:tcPr>
          <w:p>
            <w:pPr>
              <w:pStyle w:val="TableParagraph"/>
              <w:rPr>
                <w:rFonts w:ascii="Times New Roman"/>
                <w:sz w:val="18"/>
              </w:rPr>
            </w:pPr>
          </w:p>
        </w:tc>
      </w:tr>
      <w:tr>
        <w:trPr>
          <w:trHeight w:val="233" w:hRule="atLeast"/>
        </w:trPr>
        <w:tc>
          <w:tcPr>
            <w:tcW w:w="6410" w:type="dxa"/>
          </w:tcPr>
          <w:p>
            <w:pPr>
              <w:pStyle w:val="TableParagraph"/>
              <w:spacing w:line="186" w:lineRule="exact" w:before="2"/>
              <w:ind w:left="50"/>
              <w:rPr>
                <w:sz w:val="18"/>
              </w:rPr>
            </w:pPr>
            <w:r>
              <w:rPr>
                <w:sz w:val="18"/>
              </w:rPr>
              <w:t>Valor</w:t>
            </w:r>
            <w:r>
              <w:rPr>
                <w:spacing w:val="-3"/>
                <w:sz w:val="18"/>
              </w:rPr>
              <w:t> </w:t>
            </w:r>
            <w:r>
              <w:rPr>
                <w:sz w:val="18"/>
              </w:rPr>
              <w:t>líquido</w:t>
            </w:r>
            <w:r>
              <w:rPr>
                <w:spacing w:val="-2"/>
                <w:sz w:val="18"/>
              </w:rPr>
              <w:t> </w:t>
            </w:r>
            <w:r>
              <w:rPr>
                <w:sz w:val="18"/>
              </w:rPr>
              <w:t>consumido</w:t>
            </w:r>
            <w:r>
              <w:rPr>
                <w:spacing w:val="-2"/>
                <w:sz w:val="18"/>
              </w:rPr>
              <w:t> </w:t>
            </w:r>
            <w:r>
              <w:rPr>
                <w:sz w:val="18"/>
              </w:rPr>
              <w:t>pela</w:t>
            </w:r>
            <w:r>
              <w:rPr>
                <w:spacing w:val="-1"/>
                <w:sz w:val="18"/>
              </w:rPr>
              <w:t> </w:t>
            </w:r>
            <w:r>
              <w:rPr>
                <w:spacing w:val="-2"/>
                <w:sz w:val="18"/>
              </w:rPr>
              <w:t>Companhia</w:t>
            </w:r>
          </w:p>
        </w:tc>
        <w:tc>
          <w:tcPr>
            <w:tcW w:w="2483" w:type="dxa"/>
            <w:tcBorders>
              <w:top w:val="single" w:sz="4" w:space="0" w:color="000000"/>
              <w:bottom w:val="single" w:sz="18" w:space="0" w:color="000000"/>
            </w:tcBorders>
          </w:tcPr>
          <w:p>
            <w:pPr>
              <w:pStyle w:val="TableParagraph"/>
              <w:spacing w:line="149" w:lineRule="exact" w:before="39"/>
              <w:ind w:right="678"/>
              <w:jc w:val="right"/>
              <w:rPr>
                <w:sz w:val="18"/>
              </w:rPr>
            </w:pPr>
            <w:r>
              <w:rPr>
                <w:spacing w:val="-2"/>
                <w:sz w:val="18"/>
              </w:rPr>
              <w:t>(17.612)</w:t>
            </w:r>
          </w:p>
        </w:tc>
        <w:tc>
          <w:tcPr>
            <w:tcW w:w="1346" w:type="dxa"/>
            <w:tcBorders>
              <w:top w:val="single" w:sz="4" w:space="0" w:color="000000"/>
              <w:bottom w:val="single" w:sz="18" w:space="0" w:color="000000"/>
            </w:tcBorders>
          </w:tcPr>
          <w:p>
            <w:pPr>
              <w:pStyle w:val="TableParagraph"/>
              <w:spacing w:line="149" w:lineRule="exact" w:before="39"/>
              <w:jc w:val="right"/>
              <w:rPr>
                <w:sz w:val="18"/>
              </w:rPr>
            </w:pPr>
            <w:r>
              <w:rPr>
                <w:spacing w:val="-2"/>
                <w:sz w:val="18"/>
              </w:rPr>
              <w:t>(14.299)</w:t>
            </w:r>
          </w:p>
        </w:tc>
        <w:tc>
          <w:tcPr>
            <w:tcW w:w="54" w:type="dxa"/>
            <w:tcBorders>
              <w:bottom w:val="single" w:sz="18" w:space="0" w:color="000000"/>
            </w:tcBorders>
          </w:tcPr>
          <w:p>
            <w:pPr>
              <w:pStyle w:val="TableParagraph"/>
              <w:rPr>
                <w:rFonts w:ascii="Times New Roman"/>
                <w:sz w:val="14"/>
              </w:rPr>
            </w:pPr>
          </w:p>
        </w:tc>
        <w:tc>
          <w:tcPr>
            <w:tcW w:w="60" w:type="dxa"/>
          </w:tcPr>
          <w:p>
            <w:pPr>
              <w:pStyle w:val="TableParagraph"/>
              <w:rPr>
                <w:rFonts w:ascii="Times New Roman"/>
                <w:sz w:val="16"/>
              </w:rPr>
            </w:pPr>
          </w:p>
        </w:tc>
      </w:tr>
      <w:tr>
        <w:trPr>
          <w:trHeight w:val="512" w:hRule="atLeast"/>
        </w:trPr>
        <w:tc>
          <w:tcPr>
            <w:tcW w:w="6410" w:type="dxa"/>
          </w:tcPr>
          <w:p>
            <w:pPr>
              <w:pStyle w:val="TableParagraph"/>
              <w:spacing w:before="54"/>
              <w:rPr>
                <w:i/>
                <w:sz w:val="18"/>
              </w:rPr>
            </w:pPr>
          </w:p>
          <w:p>
            <w:pPr>
              <w:pStyle w:val="TableParagraph"/>
              <w:spacing w:before="1"/>
              <w:ind w:left="50"/>
              <w:rPr>
                <w:b/>
                <w:sz w:val="18"/>
              </w:rPr>
            </w:pPr>
            <w:r>
              <w:rPr>
                <w:b/>
                <w:sz w:val="18"/>
              </w:rPr>
              <w:t>Valor</w:t>
            </w:r>
            <w:r>
              <w:rPr>
                <w:b/>
                <w:spacing w:val="-2"/>
                <w:sz w:val="18"/>
              </w:rPr>
              <w:t> </w:t>
            </w:r>
            <w:r>
              <w:rPr>
                <w:b/>
                <w:sz w:val="18"/>
              </w:rPr>
              <w:t>adicionado</w:t>
            </w:r>
            <w:r>
              <w:rPr>
                <w:b/>
                <w:spacing w:val="-2"/>
                <w:sz w:val="18"/>
              </w:rPr>
              <w:t> </w:t>
            </w:r>
            <w:r>
              <w:rPr>
                <w:b/>
                <w:sz w:val="18"/>
              </w:rPr>
              <w:t>recebido</w:t>
            </w:r>
            <w:r>
              <w:rPr>
                <w:b/>
                <w:spacing w:val="-1"/>
                <w:sz w:val="18"/>
              </w:rPr>
              <w:t> </w:t>
            </w:r>
            <w:r>
              <w:rPr>
                <w:b/>
                <w:sz w:val="18"/>
              </w:rPr>
              <w:t>em</w:t>
            </w:r>
            <w:r>
              <w:rPr>
                <w:b/>
                <w:spacing w:val="-3"/>
                <w:sz w:val="18"/>
              </w:rPr>
              <w:t> </w:t>
            </w:r>
            <w:r>
              <w:rPr>
                <w:b/>
                <w:spacing w:val="-2"/>
                <w:sz w:val="18"/>
              </w:rPr>
              <w:t>transferência</w:t>
            </w:r>
          </w:p>
        </w:tc>
        <w:tc>
          <w:tcPr>
            <w:tcW w:w="2483" w:type="dxa"/>
            <w:tcBorders>
              <w:top w:val="single" w:sz="18" w:space="0" w:color="000000"/>
            </w:tcBorders>
          </w:tcPr>
          <w:p>
            <w:pPr>
              <w:pStyle w:val="TableParagraph"/>
              <w:rPr>
                <w:rFonts w:ascii="Times New Roman"/>
                <w:sz w:val="18"/>
              </w:rPr>
            </w:pPr>
          </w:p>
        </w:tc>
        <w:tc>
          <w:tcPr>
            <w:tcW w:w="1346" w:type="dxa"/>
            <w:tcBorders>
              <w:top w:val="single" w:sz="18" w:space="0" w:color="000000"/>
            </w:tcBorders>
          </w:tcPr>
          <w:p>
            <w:pPr>
              <w:pStyle w:val="TableParagraph"/>
              <w:rPr>
                <w:rFonts w:ascii="Times New Roman"/>
                <w:sz w:val="18"/>
              </w:rPr>
            </w:pPr>
          </w:p>
        </w:tc>
        <w:tc>
          <w:tcPr>
            <w:tcW w:w="54" w:type="dxa"/>
            <w:tcBorders>
              <w:top w:val="single" w:sz="18" w:space="0" w:color="000000"/>
            </w:tcBorders>
          </w:tcPr>
          <w:p>
            <w:pPr>
              <w:pStyle w:val="TableParagraph"/>
              <w:rPr>
                <w:rFonts w:ascii="Times New Roman"/>
                <w:sz w:val="18"/>
              </w:rPr>
            </w:pPr>
          </w:p>
        </w:tc>
        <w:tc>
          <w:tcPr>
            <w:tcW w:w="60" w:type="dxa"/>
          </w:tcPr>
          <w:p>
            <w:pPr>
              <w:pStyle w:val="TableParagraph"/>
              <w:rPr>
                <w:rFonts w:ascii="Times New Roman"/>
                <w:sz w:val="18"/>
              </w:rPr>
            </w:pPr>
          </w:p>
        </w:tc>
      </w:tr>
      <w:tr>
        <w:trPr>
          <w:trHeight w:val="252" w:hRule="atLeast"/>
        </w:trPr>
        <w:tc>
          <w:tcPr>
            <w:tcW w:w="6410" w:type="dxa"/>
          </w:tcPr>
          <w:p>
            <w:pPr>
              <w:pStyle w:val="TableParagraph"/>
              <w:spacing w:line="197" w:lineRule="exact" w:before="10"/>
              <w:ind w:left="50"/>
              <w:rPr>
                <w:sz w:val="18"/>
              </w:rPr>
            </w:pPr>
            <w:r>
              <w:rPr>
                <w:sz w:val="18"/>
              </w:rPr>
              <w:t>Receitas</w:t>
            </w:r>
            <w:r>
              <w:rPr>
                <w:spacing w:val="-5"/>
                <w:sz w:val="18"/>
              </w:rPr>
              <w:t> </w:t>
            </w:r>
            <w:r>
              <w:rPr>
                <w:sz w:val="18"/>
              </w:rPr>
              <w:t>financeiras</w:t>
            </w:r>
            <w:r>
              <w:rPr>
                <w:spacing w:val="-5"/>
                <w:sz w:val="18"/>
              </w:rPr>
              <w:t> </w:t>
            </w:r>
            <w:r>
              <w:rPr>
                <w:sz w:val="18"/>
              </w:rPr>
              <w:t>‐</w:t>
            </w:r>
            <w:r>
              <w:rPr>
                <w:spacing w:val="-5"/>
                <w:sz w:val="18"/>
              </w:rPr>
              <w:t> </w:t>
            </w:r>
            <w:r>
              <w:rPr>
                <w:sz w:val="18"/>
              </w:rPr>
              <w:t>inclui</w:t>
            </w:r>
            <w:r>
              <w:rPr>
                <w:spacing w:val="-6"/>
                <w:sz w:val="18"/>
              </w:rPr>
              <w:t> </w:t>
            </w:r>
            <w:r>
              <w:rPr>
                <w:sz w:val="18"/>
              </w:rPr>
              <w:t>variações</w:t>
            </w:r>
            <w:r>
              <w:rPr>
                <w:spacing w:val="-5"/>
                <w:sz w:val="18"/>
              </w:rPr>
              <w:t> </w:t>
            </w:r>
            <w:r>
              <w:rPr>
                <w:sz w:val="18"/>
              </w:rPr>
              <w:t>monetária</w:t>
            </w:r>
            <w:r>
              <w:rPr>
                <w:spacing w:val="-5"/>
                <w:sz w:val="18"/>
              </w:rPr>
              <w:t> </w:t>
            </w:r>
            <w:r>
              <w:rPr>
                <w:sz w:val="18"/>
              </w:rPr>
              <w:t>e</w:t>
            </w:r>
            <w:r>
              <w:rPr>
                <w:spacing w:val="-4"/>
                <w:sz w:val="18"/>
              </w:rPr>
              <w:t> </w:t>
            </w:r>
            <w:r>
              <w:rPr>
                <w:spacing w:val="-2"/>
                <w:sz w:val="18"/>
              </w:rPr>
              <w:t>cambial</w:t>
            </w:r>
          </w:p>
        </w:tc>
        <w:tc>
          <w:tcPr>
            <w:tcW w:w="2483" w:type="dxa"/>
            <w:tcBorders>
              <w:bottom w:val="single" w:sz="18" w:space="0" w:color="000000"/>
            </w:tcBorders>
          </w:tcPr>
          <w:p>
            <w:pPr>
              <w:pStyle w:val="TableParagraph"/>
              <w:spacing w:line="148" w:lineRule="exact" w:before="59"/>
              <w:ind w:right="679"/>
              <w:jc w:val="right"/>
              <w:rPr>
                <w:sz w:val="18"/>
              </w:rPr>
            </w:pPr>
            <w:r>
              <w:rPr>
                <w:spacing w:val="-2"/>
                <w:sz w:val="18"/>
              </w:rPr>
              <w:t>25.181</w:t>
            </w:r>
          </w:p>
        </w:tc>
        <w:tc>
          <w:tcPr>
            <w:tcW w:w="1346" w:type="dxa"/>
            <w:tcBorders>
              <w:bottom w:val="single" w:sz="18" w:space="0" w:color="000000"/>
            </w:tcBorders>
          </w:tcPr>
          <w:p>
            <w:pPr>
              <w:pStyle w:val="TableParagraph"/>
              <w:spacing w:line="148" w:lineRule="exact" w:before="59"/>
              <w:ind w:right="-15"/>
              <w:jc w:val="right"/>
              <w:rPr>
                <w:sz w:val="18"/>
              </w:rPr>
            </w:pPr>
            <w:r>
              <w:rPr>
                <w:spacing w:val="-2"/>
                <w:sz w:val="18"/>
              </w:rPr>
              <w:t>3.511</w:t>
            </w:r>
          </w:p>
        </w:tc>
        <w:tc>
          <w:tcPr>
            <w:tcW w:w="54" w:type="dxa"/>
            <w:tcBorders>
              <w:bottom w:val="single" w:sz="18" w:space="0" w:color="000000"/>
            </w:tcBorders>
          </w:tcPr>
          <w:p>
            <w:pPr>
              <w:pStyle w:val="TableParagraph"/>
              <w:rPr>
                <w:rFonts w:ascii="Times New Roman"/>
                <w:sz w:val="16"/>
              </w:rPr>
            </w:pPr>
          </w:p>
        </w:tc>
        <w:tc>
          <w:tcPr>
            <w:tcW w:w="60" w:type="dxa"/>
          </w:tcPr>
          <w:p>
            <w:pPr>
              <w:pStyle w:val="TableParagraph"/>
              <w:rPr>
                <w:rFonts w:ascii="Times New Roman"/>
                <w:sz w:val="18"/>
              </w:rPr>
            </w:pPr>
          </w:p>
        </w:tc>
      </w:tr>
      <w:tr>
        <w:trPr>
          <w:trHeight w:val="225" w:hRule="atLeast"/>
        </w:trPr>
        <w:tc>
          <w:tcPr>
            <w:tcW w:w="6410" w:type="dxa"/>
          </w:tcPr>
          <w:p>
            <w:pPr>
              <w:pStyle w:val="TableParagraph"/>
              <w:rPr>
                <w:rFonts w:ascii="Times New Roman"/>
                <w:sz w:val="16"/>
              </w:rPr>
            </w:pPr>
          </w:p>
        </w:tc>
        <w:tc>
          <w:tcPr>
            <w:tcW w:w="2483" w:type="dxa"/>
            <w:tcBorders>
              <w:top w:val="single" w:sz="18" w:space="0" w:color="000000"/>
              <w:bottom w:val="single" w:sz="18" w:space="0" w:color="000000"/>
            </w:tcBorders>
          </w:tcPr>
          <w:p>
            <w:pPr>
              <w:pStyle w:val="TableParagraph"/>
              <w:spacing w:line="156" w:lineRule="exact" w:before="57"/>
              <w:ind w:right="679"/>
              <w:jc w:val="right"/>
              <w:rPr>
                <w:sz w:val="18"/>
              </w:rPr>
            </w:pPr>
            <w:r>
              <w:rPr>
                <w:spacing w:val="-2"/>
                <w:sz w:val="18"/>
              </w:rPr>
              <w:t>25.181</w:t>
            </w:r>
          </w:p>
        </w:tc>
        <w:tc>
          <w:tcPr>
            <w:tcW w:w="1346" w:type="dxa"/>
            <w:tcBorders>
              <w:top w:val="single" w:sz="18" w:space="0" w:color="000000"/>
              <w:bottom w:val="single" w:sz="18" w:space="0" w:color="000000"/>
            </w:tcBorders>
          </w:tcPr>
          <w:p>
            <w:pPr>
              <w:pStyle w:val="TableParagraph"/>
              <w:spacing w:line="156" w:lineRule="exact" w:before="57"/>
              <w:ind w:right="-15"/>
              <w:jc w:val="right"/>
              <w:rPr>
                <w:sz w:val="18"/>
              </w:rPr>
            </w:pPr>
            <w:r>
              <w:rPr>
                <w:spacing w:val="-2"/>
                <w:sz w:val="18"/>
              </w:rPr>
              <w:t>3.511</w:t>
            </w:r>
          </w:p>
        </w:tc>
        <w:tc>
          <w:tcPr>
            <w:tcW w:w="54" w:type="dxa"/>
            <w:tcBorders>
              <w:top w:val="single" w:sz="18" w:space="0" w:color="000000"/>
              <w:bottom w:val="single" w:sz="18" w:space="0" w:color="000000"/>
            </w:tcBorders>
          </w:tcPr>
          <w:p>
            <w:pPr>
              <w:pStyle w:val="TableParagraph"/>
              <w:rPr>
                <w:rFonts w:ascii="Times New Roman"/>
                <w:sz w:val="16"/>
              </w:rPr>
            </w:pPr>
          </w:p>
        </w:tc>
        <w:tc>
          <w:tcPr>
            <w:tcW w:w="60" w:type="dxa"/>
          </w:tcPr>
          <w:p>
            <w:pPr>
              <w:pStyle w:val="TableParagraph"/>
              <w:rPr>
                <w:rFonts w:ascii="Times New Roman"/>
                <w:sz w:val="16"/>
              </w:rPr>
            </w:pPr>
          </w:p>
        </w:tc>
      </w:tr>
      <w:tr>
        <w:trPr>
          <w:trHeight w:val="245" w:hRule="atLeast"/>
        </w:trPr>
        <w:tc>
          <w:tcPr>
            <w:tcW w:w="6410" w:type="dxa"/>
          </w:tcPr>
          <w:p>
            <w:pPr>
              <w:pStyle w:val="TableParagraph"/>
              <w:spacing w:before="14"/>
              <w:ind w:left="50"/>
              <w:rPr>
                <w:sz w:val="18"/>
              </w:rPr>
            </w:pPr>
            <w:r>
              <w:rPr>
                <w:sz w:val="18"/>
              </w:rPr>
              <w:t>Valor</w:t>
            </w:r>
            <w:r>
              <w:rPr>
                <w:spacing w:val="-4"/>
                <w:sz w:val="18"/>
              </w:rPr>
              <w:t> </w:t>
            </w:r>
            <w:r>
              <w:rPr>
                <w:sz w:val="18"/>
              </w:rPr>
              <w:t>adicionado</w:t>
            </w:r>
            <w:r>
              <w:rPr>
                <w:spacing w:val="-3"/>
                <w:sz w:val="18"/>
              </w:rPr>
              <w:t> </w:t>
            </w:r>
            <w:r>
              <w:rPr>
                <w:sz w:val="18"/>
              </w:rPr>
              <w:t>(consumido)</w:t>
            </w:r>
            <w:r>
              <w:rPr>
                <w:spacing w:val="-3"/>
                <w:sz w:val="18"/>
              </w:rPr>
              <w:t> </w:t>
            </w:r>
            <w:r>
              <w:rPr>
                <w:sz w:val="18"/>
              </w:rPr>
              <w:t>a</w:t>
            </w:r>
            <w:r>
              <w:rPr>
                <w:spacing w:val="-3"/>
                <w:sz w:val="18"/>
              </w:rPr>
              <w:t> </w:t>
            </w:r>
            <w:r>
              <w:rPr>
                <w:spacing w:val="-2"/>
                <w:sz w:val="18"/>
              </w:rPr>
              <w:t>distribuir</w:t>
            </w:r>
          </w:p>
        </w:tc>
        <w:tc>
          <w:tcPr>
            <w:tcW w:w="2483" w:type="dxa"/>
            <w:tcBorders>
              <w:top w:val="single" w:sz="18" w:space="0" w:color="000000"/>
              <w:bottom w:val="single" w:sz="24" w:space="0" w:color="000000"/>
            </w:tcBorders>
          </w:tcPr>
          <w:p>
            <w:pPr>
              <w:pStyle w:val="TableParagraph"/>
              <w:spacing w:line="210" w:lineRule="exact" w:before="33"/>
              <w:ind w:right="679"/>
              <w:jc w:val="right"/>
              <w:rPr>
                <w:sz w:val="18"/>
              </w:rPr>
            </w:pPr>
            <w:r>
              <w:rPr>
                <w:spacing w:val="-2"/>
                <w:sz w:val="18"/>
              </w:rPr>
              <w:t>7.569</w:t>
            </w:r>
          </w:p>
        </w:tc>
        <w:tc>
          <w:tcPr>
            <w:tcW w:w="1346" w:type="dxa"/>
            <w:tcBorders>
              <w:top w:val="single" w:sz="18" w:space="0" w:color="000000"/>
              <w:bottom w:val="single" w:sz="24" w:space="0" w:color="000000"/>
            </w:tcBorders>
          </w:tcPr>
          <w:p>
            <w:pPr>
              <w:pStyle w:val="TableParagraph"/>
              <w:spacing w:line="210" w:lineRule="exact" w:before="33"/>
              <w:ind w:right="53"/>
              <w:jc w:val="right"/>
              <w:rPr>
                <w:sz w:val="18"/>
              </w:rPr>
            </w:pPr>
            <w:r>
              <w:rPr>
                <w:spacing w:val="-2"/>
                <w:sz w:val="18"/>
              </w:rPr>
              <w:t>(10.788)</w:t>
            </w:r>
          </w:p>
        </w:tc>
        <w:tc>
          <w:tcPr>
            <w:tcW w:w="54" w:type="dxa"/>
            <w:tcBorders>
              <w:top w:val="single" w:sz="18" w:space="0" w:color="000000"/>
            </w:tcBorders>
          </w:tcPr>
          <w:p>
            <w:pPr>
              <w:pStyle w:val="TableParagraph"/>
              <w:rPr>
                <w:rFonts w:ascii="Times New Roman"/>
                <w:sz w:val="18"/>
              </w:rPr>
            </w:pPr>
          </w:p>
        </w:tc>
        <w:tc>
          <w:tcPr>
            <w:tcW w:w="60" w:type="dxa"/>
          </w:tcPr>
          <w:p>
            <w:pPr>
              <w:pStyle w:val="TableParagraph"/>
              <w:rPr>
                <w:rFonts w:ascii="Times New Roman"/>
                <w:sz w:val="16"/>
              </w:rPr>
            </w:pPr>
          </w:p>
        </w:tc>
      </w:tr>
      <w:tr>
        <w:trPr>
          <w:trHeight w:val="488" w:hRule="atLeast"/>
        </w:trPr>
        <w:tc>
          <w:tcPr>
            <w:tcW w:w="6410" w:type="dxa"/>
          </w:tcPr>
          <w:p>
            <w:pPr>
              <w:pStyle w:val="TableParagraph"/>
              <w:spacing w:before="214"/>
              <w:ind w:left="50"/>
              <w:rPr>
                <w:b/>
                <w:sz w:val="18"/>
              </w:rPr>
            </w:pPr>
            <w:r>
              <w:rPr>
                <w:b/>
                <w:sz w:val="18"/>
              </w:rPr>
              <w:t>Distribuição</w:t>
            </w:r>
            <w:r>
              <w:rPr>
                <w:b/>
                <w:spacing w:val="-3"/>
                <w:sz w:val="18"/>
              </w:rPr>
              <w:t> </w:t>
            </w:r>
            <w:r>
              <w:rPr>
                <w:b/>
                <w:sz w:val="18"/>
              </w:rPr>
              <w:t>do</w:t>
            </w:r>
            <w:r>
              <w:rPr>
                <w:b/>
                <w:spacing w:val="-2"/>
                <w:sz w:val="18"/>
              </w:rPr>
              <w:t> </w:t>
            </w:r>
            <w:r>
              <w:rPr>
                <w:b/>
                <w:sz w:val="18"/>
              </w:rPr>
              <w:t>valor</w:t>
            </w:r>
            <w:r>
              <w:rPr>
                <w:b/>
                <w:spacing w:val="-1"/>
                <w:sz w:val="18"/>
              </w:rPr>
              <w:t> </w:t>
            </w:r>
            <w:r>
              <w:rPr>
                <w:b/>
                <w:sz w:val="18"/>
              </w:rPr>
              <w:t>adicionado </w:t>
            </w:r>
            <w:r>
              <w:rPr>
                <w:b/>
                <w:spacing w:val="-2"/>
                <w:sz w:val="18"/>
              </w:rPr>
              <w:t>(consumido)</w:t>
            </w:r>
          </w:p>
        </w:tc>
        <w:tc>
          <w:tcPr>
            <w:tcW w:w="2483" w:type="dxa"/>
            <w:tcBorders>
              <w:top w:val="single" w:sz="24" w:space="0" w:color="000000"/>
            </w:tcBorders>
          </w:tcPr>
          <w:p>
            <w:pPr>
              <w:pStyle w:val="TableParagraph"/>
              <w:rPr>
                <w:rFonts w:ascii="Times New Roman"/>
                <w:sz w:val="18"/>
              </w:rPr>
            </w:pPr>
          </w:p>
        </w:tc>
        <w:tc>
          <w:tcPr>
            <w:tcW w:w="1346" w:type="dxa"/>
            <w:tcBorders>
              <w:top w:val="single" w:sz="24" w:space="0" w:color="000000"/>
            </w:tcBorders>
          </w:tcPr>
          <w:p>
            <w:pPr>
              <w:pStyle w:val="TableParagraph"/>
              <w:rPr>
                <w:rFonts w:ascii="Times New Roman"/>
                <w:sz w:val="18"/>
              </w:rPr>
            </w:pP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r>
        <w:trPr>
          <w:trHeight w:val="283" w:hRule="atLeast"/>
        </w:trPr>
        <w:tc>
          <w:tcPr>
            <w:tcW w:w="6410" w:type="dxa"/>
          </w:tcPr>
          <w:p>
            <w:pPr>
              <w:pStyle w:val="TableParagraph"/>
              <w:spacing w:before="22"/>
              <w:ind w:left="50"/>
              <w:rPr>
                <w:b/>
                <w:sz w:val="18"/>
              </w:rPr>
            </w:pPr>
            <w:r>
              <w:rPr>
                <w:b/>
                <w:sz w:val="18"/>
              </w:rPr>
              <w:t>Pessoal</w:t>
            </w:r>
            <w:r>
              <w:rPr>
                <w:b/>
                <w:spacing w:val="-2"/>
                <w:sz w:val="18"/>
              </w:rPr>
              <w:t> </w:t>
            </w:r>
            <w:r>
              <w:rPr>
                <w:b/>
                <w:sz w:val="18"/>
              </w:rPr>
              <w:t>e</w:t>
            </w:r>
            <w:r>
              <w:rPr>
                <w:b/>
                <w:spacing w:val="-1"/>
                <w:sz w:val="18"/>
              </w:rPr>
              <w:t> </w:t>
            </w:r>
            <w:r>
              <w:rPr>
                <w:b/>
                <w:spacing w:val="-2"/>
                <w:sz w:val="18"/>
              </w:rPr>
              <w:t>encargos</w:t>
            </w:r>
          </w:p>
        </w:tc>
        <w:tc>
          <w:tcPr>
            <w:tcW w:w="2483" w:type="dxa"/>
          </w:tcPr>
          <w:p>
            <w:pPr>
              <w:pStyle w:val="TableParagraph"/>
              <w:rPr>
                <w:rFonts w:ascii="Times New Roman"/>
                <w:sz w:val="18"/>
              </w:rPr>
            </w:pPr>
          </w:p>
        </w:tc>
        <w:tc>
          <w:tcPr>
            <w:tcW w:w="1346" w:type="dxa"/>
          </w:tcPr>
          <w:p>
            <w:pPr>
              <w:pStyle w:val="TableParagraph"/>
              <w:rPr>
                <w:rFonts w:ascii="Times New Roman"/>
                <w:sz w:val="18"/>
              </w:rPr>
            </w:pP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r>
        <w:trPr>
          <w:trHeight w:val="300" w:hRule="atLeast"/>
        </w:trPr>
        <w:tc>
          <w:tcPr>
            <w:tcW w:w="6410" w:type="dxa"/>
          </w:tcPr>
          <w:p>
            <w:pPr>
              <w:pStyle w:val="TableParagraph"/>
              <w:spacing w:before="8"/>
              <w:ind w:left="50"/>
              <w:rPr>
                <w:sz w:val="18"/>
              </w:rPr>
            </w:pPr>
            <w:r>
              <w:rPr>
                <w:sz w:val="18"/>
              </w:rPr>
              <w:t>Salários</w:t>
            </w:r>
            <w:r>
              <w:rPr>
                <w:spacing w:val="-5"/>
                <w:sz w:val="18"/>
              </w:rPr>
              <w:t> </w:t>
            </w:r>
            <w:r>
              <w:rPr>
                <w:sz w:val="18"/>
              </w:rPr>
              <w:t>e</w:t>
            </w:r>
            <w:r>
              <w:rPr>
                <w:spacing w:val="-4"/>
                <w:sz w:val="18"/>
              </w:rPr>
              <w:t> </w:t>
            </w:r>
            <w:r>
              <w:rPr>
                <w:sz w:val="18"/>
              </w:rPr>
              <w:t>participações</w:t>
            </w:r>
            <w:r>
              <w:rPr>
                <w:spacing w:val="-4"/>
                <w:sz w:val="18"/>
              </w:rPr>
              <w:t> </w:t>
            </w:r>
            <w:r>
              <w:rPr>
                <w:sz w:val="18"/>
              </w:rPr>
              <w:t>‐</w:t>
            </w:r>
            <w:r>
              <w:rPr>
                <w:spacing w:val="-4"/>
                <w:sz w:val="18"/>
              </w:rPr>
              <w:t> </w:t>
            </w:r>
            <w:r>
              <w:rPr>
                <w:sz w:val="18"/>
              </w:rPr>
              <w:t>pessoal</w:t>
            </w:r>
            <w:r>
              <w:rPr>
                <w:spacing w:val="-5"/>
                <w:sz w:val="18"/>
              </w:rPr>
              <w:t> </w:t>
            </w:r>
            <w:r>
              <w:rPr>
                <w:spacing w:val="-2"/>
                <w:sz w:val="18"/>
              </w:rPr>
              <w:t>cedido</w:t>
            </w:r>
          </w:p>
        </w:tc>
        <w:tc>
          <w:tcPr>
            <w:tcW w:w="2483" w:type="dxa"/>
          </w:tcPr>
          <w:p>
            <w:pPr>
              <w:pStyle w:val="TableParagraph"/>
              <w:spacing w:before="60"/>
              <w:ind w:right="679"/>
              <w:jc w:val="right"/>
              <w:rPr>
                <w:sz w:val="18"/>
              </w:rPr>
            </w:pPr>
            <w:r>
              <w:rPr>
                <w:spacing w:val="-2"/>
                <w:sz w:val="18"/>
              </w:rPr>
              <w:t>3.168</w:t>
            </w:r>
          </w:p>
        </w:tc>
        <w:tc>
          <w:tcPr>
            <w:tcW w:w="1346" w:type="dxa"/>
          </w:tcPr>
          <w:p>
            <w:pPr>
              <w:pStyle w:val="TableParagraph"/>
              <w:spacing w:before="60"/>
              <w:ind w:right="56"/>
              <w:jc w:val="right"/>
              <w:rPr>
                <w:sz w:val="18"/>
              </w:rPr>
            </w:pPr>
            <w:r>
              <w:rPr>
                <w:spacing w:val="-2"/>
                <w:sz w:val="18"/>
              </w:rPr>
              <w:t>2.381</w:t>
            </w: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r>
        <w:trPr>
          <w:trHeight w:val="269" w:hRule="atLeast"/>
        </w:trPr>
        <w:tc>
          <w:tcPr>
            <w:tcW w:w="6410" w:type="dxa"/>
          </w:tcPr>
          <w:p>
            <w:pPr>
              <w:pStyle w:val="TableParagraph"/>
              <w:spacing w:line="207" w:lineRule="exact"/>
              <w:ind w:left="50"/>
              <w:rPr>
                <w:sz w:val="18"/>
              </w:rPr>
            </w:pPr>
            <w:r>
              <w:rPr>
                <w:spacing w:val="-2"/>
                <w:sz w:val="18"/>
              </w:rPr>
              <w:t>Benefícios</w:t>
            </w:r>
          </w:p>
        </w:tc>
        <w:tc>
          <w:tcPr>
            <w:tcW w:w="2483" w:type="dxa"/>
          </w:tcPr>
          <w:p>
            <w:pPr>
              <w:pStyle w:val="TableParagraph"/>
              <w:spacing w:line="219" w:lineRule="exact" w:before="30"/>
              <w:ind w:right="679"/>
              <w:jc w:val="right"/>
              <w:rPr>
                <w:sz w:val="18"/>
              </w:rPr>
            </w:pPr>
            <w:r>
              <w:rPr>
                <w:spacing w:val="-2"/>
                <w:sz w:val="18"/>
              </w:rPr>
              <w:t>1.314</w:t>
            </w:r>
          </w:p>
        </w:tc>
        <w:tc>
          <w:tcPr>
            <w:tcW w:w="1346" w:type="dxa"/>
          </w:tcPr>
          <w:p>
            <w:pPr>
              <w:pStyle w:val="TableParagraph"/>
              <w:spacing w:line="219" w:lineRule="exact" w:before="30"/>
              <w:ind w:right="53"/>
              <w:jc w:val="right"/>
              <w:rPr>
                <w:sz w:val="18"/>
              </w:rPr>
            </w:pPr>
            <w:r>
              <w:rPr>
                <w:spacing w:val="-2"/>
                <w:sz w:val="18"/>
              </w:rPr>
              <w:t>(79.904)</w:t>
            </w: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r>
        <w:trPr>
          <w:trHeight w:val="222" w:hRule="atLeast"/>
        </w:trPr>
        <w:tc>
          <w:tcPr>
            <w:tcW w:w="6410" w:type="dxa"/>
          </w:tcPr>
          <w:p>
            <w:pPr>
              <w:pStyle w:val="TableParagraph"/>
              <w:spacing w:line="187" w:lineRule="exact"/>
              <w:ind w:left="50"/>
              <w:rPr>
                <w:sz w:val="18"/>
              </w:rPr>
            </w:pPr>
            <w:r>
              <w:rPr>
                <w:spacing w:val="-4"/>
                <w:sz w:val="18"/>
              </w:rPr>
              <w:t>FGTS</w:t>
            </w:r>
          </w:p>
        </w:tc>
        <w:tc>
          <w:tcPr>
            <w:tcW w:w="2483" w:type="dxa"/>
            <w:tcBorders>
              <w:bottom w:val="single" w:sz="18" w:space="0" w:color="000000"/>
            </w:tcBorders>
          </w:tcPr>
          <w:p>
            <w:pPr>
              <w:pStyle w:val="TableParagraph"/>
              <w:spacing w:line="159" w:lineRule="exact" w:before="28"/>
              <w:ind w:right="679"/>
              <w:jc w:val="right"/>
              <w:rPr>
                <w:sz w:val="18"/>
              </w:rPr>
            </w:pPr>
            <w:r>
              <w:rPr>
                <w:spacing w:val="-10"/>
                <w:sz w:val="18"/>
              </w:rPr>
              <w:t>‐</w:t>
            </w:r>
          </w:p>
        </w:tc>
        <w:tc>
          <w:tcPr>
            <w:tcW w:w="1346" w:type="dxa"/>
            <w:tcBorders>
              <w:bottom w:val="single" w:sz="18" w:space="0" w:color="000000"/>
            </w:tcBorders>
          </w:tcPr>
          <w:p>
            <w:pPr>
              <w:pStyle w:val="TableParagraph"/>
              <w:spacing w:line="159" w:lineRule="exact" w:before="28"/>
              <w:ind w:right="-15"/>
              <w:jc w:val="right"/>
              <w:rPr>
                <w:sz w:val="18"/>
              </w:rPr>
            </w:pPr>
            <w:r>
              <w:rPr>
                <w:spacing w:val="-10"/>
                <w:sz w:val="18"/>
              </w:rPr>
              <w:t>2</w:t>
            </w:r>
          </w:p>
        </w:tc>
        <w:tc>
          <w:tcPr>
            <w:tcW w:w="54" w:type="dxa"/>
            <w:tcBorders>
              <w:bottom w:val="single" w:sz="18" w:space="0" w:color="000000"/>
            </w:tcBorders>
          </w:tcPr>
          <w:p>
            <w:pPr>
              <w:pStyle w:val="TableParagraph"/>
              <w:rPr>
                <w:rFonts w:ascii="Times New Roman"/>
                <w:sz w:val="14"/>
              </w:rPr>
            </w:pPr>
          </w:p>
        </w:tc>
        <w:tc>
          <w:tcPr>
            <w:tcW w:w="60" w:type="dxa"/>
          </w:tcPr>
          <w:p>
            <w:pPr>
              <w:pStyle w:val="TableParagraph"/>
              <w:rPr>
                <w:rFonts w:ascii="Times New Roman"/>
                <w:sz w:val="14"/>
              </w:rPr>
            </w:pPr>
          </w:p>
        </w:tc>
      </w:tr>
      <w:tr>
        <w:trPr>
          <w:trHeight w:val="226" w:hRule="atLeast"/>
        </w:trPr>
        <w:tc>
          <w:tcPr>
            <w:tcW w:w="6410" w:type="dxa"/>
          </w:tcPr>
          <w:p>
            <w:pPr>
              <w:pStyle w:val="TableParagraph"/>
              <w:rPr>
                <w:rFonts w:ascii="Times New Roman"/>
                <w:sz w:val="16"/>
              </w:rPr>
            </w:pPr>
          </w:p>
        </w:tc>
        <w:tc>
          <w:tcPr>
            <w:tcW w:w="2483" w:type="dxa"/>
            <w:tcBorders>
              <w:top w:val="single" w:sz="18" w:space="0" w:color="000000"/>
              <w:bottom w:val="single" w:sz="18" w:space="0" w:color="000000"/>
            </w:tcBorders>
          </w:tcPr>
          <w:p>
            <w:pPr>
              <w:pStyle w:val="TableParagraph"/>
              <w:spacing w:line="162" w:lineRule="exact" w:before="47"/>
              <w:ind w:right="679"/>
              <w:jc w:val="right"/>
              <w:rPr>
                <w:sz w:val="18"/>
              </w:rPr>
            </w:pPr>
            <w:r>
              <w:rPr>
                <w:spacing w:val="-2"/>
                <w:sz w:val="18"/>
              </w:rPr>
              <w:t>4.482</w:t>
            </w:r>
          </w:p>
        </w:tc>
        <w:tc>
          <w:tcPr>
            <w:tcW w:w="1346" w:type="dxa"/>
            <w:tcBorders>
              <w:top w:val="single" w:sz="18" w:space="0" w:color="000000"/>
              <w:bottom w:val="single" w:sz="18" w:space="0" w:color="000000"/>
            </w:tcBorders>
          </w:tcPr>
          <w:p>
            <w:pPr>
              <w:pStyle w:val="TableParagraph"/>
              <w:spacing w:line="162" w:lineRule="exact" w:before="47"/>
              <w:jc w:val="right"/>
              <w:rPr>
                <w:sz w:val="18"/>
              </w:rPr>
            </w:pPr>
            <w:r>
              <w:rPr>
                <w:spacing w:val="-2"/>
                <w:sz w:val="18"/>
              </w:rPr>
              <w:t>(77.521)</w:t>
            </w:r>
          </w:p>
        </w:tc>
        <w:tc>
          <w:tcPr>
            <w:tcW w:w="54" w:type="dxa"/>
            <w:tcBorders>
              <w:top w:val="single" w:sz="18" w:space="0" w:color="000000"/>
              <w:bottom w:val="single" w:sz="18" w:space="0" w:color="000000"/>
            </w:tcBorders>
          </w:tcPr>
          <w:p>
            <w:pPr>
              <w:pStyle w:val="TableParagraph"/>
              <w:rPr>
                <w:rFonts w:ascii="Times New Roman"/>
                <w:sz w:val="16"/>
              </w:rPr>
            </w:pPr>
          </w:p>
        </w:tc>
        <w:tc>
          <w:tcPr>
            <w:tcW w:w="60" w:type="dxa"/>
          </w:tcPr>
          <w:p>
            <w:pPr>
              <w:pStyle w:val="TableParagraph"/>
              <w:rPr>
                <w:rFonts w:ascii="Times New Roman"/>
                <w:sz w:val="16"/>
              </w:rPr>
            </w:pPr>
          </w:p>
        </w:tc>
      </w:tr>
      <w:tr>
        <w:trPr>
          <w:trHeight w:val="491" w:hRule="atLeast"/>
        </w:trPr>
        <w:tc>
          <w:tcPr>
            <w:tcW w:w="6410" w:type="dxa"/>
          </w:tcPr>
          <w:p>
            <w:pPr>
              <w:pStyle w:val="TableParagraph"/>
              <w:spacing w:before="24"/>
              <w:rPr>
                <w:i/>
                <w:sz w:val="18"/>
              </w:rPr>
            </w:pPr>
          </w:p>
          <w:p>
            <w:pPr>
              <w:pStyle w:val="TableParagraph"/>
              <w:spacing w:before="1"/>
              <w:ind w:left="50"/>
              <w:rPr>
                <w:b/>
                <w:sz w:val="18"/>
              </w:rPr>
            </w:pPr>
            <w:r>
              <w:rPr>
                <w:b/>
                <w:spacing w:val="-2"/>
                <w:sz w:val="18"/>
              </w:rPr>
              <w:t>Tributos</w:t>
            </w:r>
          </w:p>
        </w:tc>
        <w:tc>
          <w:tcPr>
            <w:tcW w:w="2483" w:type="dxa"/>
            <w:tcBorders>
              <w:top w:val="single" w:sz="18" w:space="0" w:color="000000"/>
            </w:tcBorders>
          </w:tcPr>
          <w:p>
            <w:pPr>
              <w:pStyle w:val="TableParagraph"/>
              <w:rPr>
                <w:rFonts w:ascii="Times New Roman"/>
                <w:sz w:val="18"/>
              </w:rPr>
            </w:pPr>
          </w:p>
        </w:tc>
        <w:tc>
          <w:tcPr>
            <w:tcW w:w="1346" w:type="dxa"/>
            <w:tcBorders>
              <w:top w:val="single" w:sz="18" w:space="0" w:color="000000"/>
            </w:tcBorders>
          </w:tcPr>
          <w:p>
            <w:pPr>
              <w:pStyle w:val="TableParagraph"/>
              <w:rPr>
                <w:rFonts w:ascii="Times New Roman"/>
                <w:sz w:val="18"/>
              </w:rPr>
            </w:pPr>
          </w:p>
        </w:tc>
        <w:tc>
          <w:tcPr>
            <w:tcW w:w="54" w:type="dxa"/>
            <w:tcBorders>
              <w:top w:val="single" w:sz="18" w:space="0" w:color="000000"/>
            </w:tcBorders>
          </w:tcPr>
          <w:p>
            <w:pPr>
              <w:pStyle w:val="TableParagraph"/>
              <w:rPr>
                <w:rFonts w:ascii="Times New Roman"/>
                <w:sz w:val="18"/>
              </w:rPr>
            </w:pPr>
          </w:p>
        </w:tc>
        <w:tc>
          <w:tcPr>
            <w:tcW w:w="60" w:type="dxa"/>
          </w:tcPr>
          <w:p>
            <w:pPr>
              <w:pStyle w:val="TableParagraph"/>
              <w:rPr>
                <w:rFonts w:ascii="Times New Roman"/>
                <w:sz w:val="18"/>
              </w:rPr>
            </w:pPr>
          </w:p>
        </w:tc>
      </w:tr>
      <w:tr>
        <w:trPr>
          <w:trHeight w:val="297" w:hRule="atLeast"/>
        </w:trPr>
        <w:tc>
          <w:tcPr>
            <w:tcW w:w="6410" w:type="dxa"/>
          </w:tcPr>
          <w:p>
            <w:pPr>
              <w:pStyle w:val="TableParagraph"/>
              <w:spacing w:before="6"/>
              <w:ind w:left="50"/>
              <w:rPr>
                <w:sz w:val="18"/>
              </w:rPr>
            </w:pPr>
            <w:r>
              <w:rPr>
                <w:spacing w:val="-2"/>
                <w:sz w:val="18"/>
              </w:rPr>
              <w:t>Federais</w:t>
            </w:r>
          </w:p>
        </w:tc>
        <w:tc>
          <w:tcPr>
            <w:tcW w:w="2483" w:type="dxa"/>
          </w:tcPr>
          <w:p>
            <w:pPr>
              <w:pStyle w:val="TableParagraph"/>
              <w:spacing w:before="58"/>
              <w:ind w:right="679"/>
              <w:jc w:val="right"/>
              <w:rPr>
                <w:sz w:val="18"/>
              </w:rPr>
            </w:pPr>
            <w:r>
              <w:rPr>
                <w:spacing w:val="-2"/>
                <w:sz w:val="18"/>
              </w:rPr>
              <w:t>1.399</w:t>
            </w:r>
          </w:p>
        </w:tc>
        <w:tc>
          <w:tcPr>
            <w:tcW w:w="1346" w:type="dxa"/>
          </w:tcPr>
          <w:p>
            <w:pPr>
              <w:pStyle w:val="TableParagraph"/>
              <w:spacing w:before="58"/>
              <w:ind w:right="56"/>
              <w:jc w:val="right"/>
              <w:rPr>
                <w:sz w:val="18"/>
              </w:rPr>
            </w:pPr>
            <w:r>
              <w:rPr>
                <w:spacing w:val="-2"/>
                <w:sz w:val="18"/>
              </w:rPr>
              <w:t>1.240</w:t>
            </w: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r>
        <w:trPr>
          <w:trHeight w:val="222" w:hRule="atLeast"/>
        </w:trPr>
        <w:tc>
          <w:tcPr>
            <w:tcW w:w="6410" w:type="dxa"/>
          </w:tcPr>
          <w:p>
            <w:pPr>
              <w:pStyle w:val="TableParagraph"/>
              <w:spacing w:line="203" w:lineRule="exact"/>
              <w:ind w:left="50"/>
              <w:rPr>
                <w:sz w:val="18"/>
              </w:rPr>
            </w:pPr>
            <w:r>
              <w:rPr>
                <w:spacing w:val="-2"/>
                <w:sz w:val="18"/>
              </w:rPr>
              <w:t>Estaduais</w:t>
            </w:r>
          </w:p>
        </w:tc>
        <w:tc>
          <w:tcPr>
            <w:tcW w:w="2483" w:type="dxa"/>
            <w:tcBorders>
              <w:bottom w:val="single" w:sz="18" w:space="0" w:color="000000"/>
            </w:tcBorders>
          </w:tcPr>
          <w:p>
            <w:pPr>
              <w:pStyle w:val="TableParagraph"/>
              <w:spacing w:line="149" w:lineRule="exact" w:before="29"/>
              <w:ind w:right="679"/>
              <w:jc w:val="right"/>
              <w:rPr>
                <w:sz w:val="18"/>
              </w:rPr>
            </w:pPr>
            <w:r>
              <w:rPr>
                <w:spacing w:val="-10"/>
                <w:sz w:val="18"/>
              </w:rPr>
              <w:t>‐</w:t>
            </w:r>
          </w:p>
        </w:tc>
        <w:tc>
          <w:tcPr>
            <w:tcW w:w="1346" w:type="dxa"/>
            <w:tcBorders>
              <w:bottom w:val="single" w:sz="18" w:space="0" w:color="000000"/>
            </w:tcBorders>
          </w:tcPr>
          <w:p>
            <w:pPr>
              <w:pStyle w:val="TableParagraph"/>
              <w:spacing w:line="149" w:lineRule="exact" w:before="29"/>
              <w:ind w:right="-15"/>
              <w:jc w:val="right"/>
              <w:rPr>
                <w:sz w:val="18"/>
              </w:rPr>
            </w:pPr>
            <w:r>
              <w:rPr>
                <w:spacing w:val="-5"/>
                <w:sz w:val="18"/>
              </w:rPr>
              <w:t>31</w:t>
            </w:r>
          </w:p>
        </w:tc>
        <w:tc>
          <w:tcPr>
            <w:tcW w:w="54" w:type="dxa"/>
            <w:tcBorders>
              <w:bottom w:val="single" w:sz="18" w:space="0" w:color="000000"/>
            </w:tcBorders>
          </w:tcPr>
          <w:p>
            <w:pPr>
              <w:pStyle w:val="TableParagraph"/>
              <w:rPr>
                <w:rFonts w:ascii="Times New Roman"/>
                <w:sz w:val="12"/>
              </w:rPr>
            </w:pPr>
          </w:p>
        </w:tc>
        <w:tc>
          <w:tcPr>
            <w:tcW w:w="60" w:type="dxa"/>
            <w:tcBorders>
              <w:bottom w:val="single" w:sz="18" w:space="0" w:color="000000"/>
            </w:tcBorders>
          </w:tcPr>
          <w:p>
            <w:pPr>
              <w:pStyle w:val="TableParagraph"/>
              <w:rPr>
                <w:rFonts w:ascii="Times New Roman"/>
                <w:sz w:val="12"/>
              </w:rPr>
            </w:pPr>
          </w:p>
        </w:tc>
      </w:tr>
      <w:tr>
        <w:trPr>
          <w:trHeight w:val="225" w:hRule="atLeast"/>
        </w:trPr>
        <w:tc>
          <w:tcPr>
            <w:tcW w:w="6410" w:type="dxa"/>
          </w:tcPr>
          <w:p>
            <w:pPr>
              <w:pStyle w:val="TableParagraph"/>
              <w:rPr>
                <w:rFonts w:ascii="Times New Roman"/>
                <w:sz w:val="16"/>
              </w:rPr>
            </w:pPr>
          </w:p>
        </w:tc>
        <w:tc>
          <w:tcPr>
            <w:tcW w:w="2483" w:type="dxa"/>
            <w:tcBorders>
              <w:top w:val="single" w:sz="18" w:space="0" w:color="000000"/>
              <w:bottom w:val="single" w:sz="18" w:space="0" w:color="000000"/>
            </w:tcBorders>
          </w:tcPr>
          <w:p>
            <w:pPr>
              <w:pStyle w:val="TableParagraph"/>
              <w:spacing w:line="145" w:lineRule="exact" w:before="56"/>
              <w:ind w:right="679"/>
              <w:jc w:val="right"/>
              <w:rPr>
                <w:sz w:val="18"/>
              </w:rPr>
            </w:pPr>
            <w:r>
              <w:rPr>
                <w:spacing w:val="-2"/>
                <w:sz w:val="18"/>
              </w:rPr>
              <w:t>1.399</w:t>
            </w:r>
          </w:p>
        </w:tc>
        <w:tc>
          <w:tcPr>
            <w:tcW w:w="1346" w:type="dxa"/>
            <w:tcBorders>
              <w:top w:val="single" w:sz="18" w:space="0" w:color="000000"/>
              <w:bottom w:val="single" w:sz="18" w:space="0" w:color="000000"/>
            </w:tcBorders>
          </w:tcPr>
          <w:p>
            <w:pPr>
              <w:pStyle w:val="TableParagraph"/>
              <w:spacing w:line="145" w:lineRule="exact" w:before="56"/>
              <w:ind w:right="-15"/>
              <w:jc w:val="right"/>
              <w:rPr>
                <w:sz w:val="18"/>
              </w:rPr>
            </w:pPr>
            <w:r>
              <w:rPr>
                <w:spacing w:val="-2"/>
                <w:sz w:val="18"/>
              </w:rPr>
              <w:t>1.271</w:t>
            </w:r>
          </w:p>
        </w:tc>
        <w:tc>
          <w:tcPr>
            <w:tcW w:w="54" w:type="dxa"/>
            <w:tcBorders>
              <w:top w:val="single" w:sz="18" w:space="0" w:color="000000"/>
              <w:bottom w:val="single" w:sz="18" w:space="0" w:color="000000"/>
            </w:tcBorders>
          </w:tcPr>
          <w:p>
            <w:pPr>
              <w:pStyle w:val="TableParagraph"/>
              <w:rPr>
                <w:rFonts w:ascii="Times New Roman"/>
                <w:sz w:val="14"/>
              </w:rPr>
            </w:pPr>
          </w:p>
        </w:tc>
        <w:tc>
          <w:tcPr>
            <w:tcW w:w="60" w:type="dxa"/>
            <w:tcBorders>
              <w:top w:val="single" w:sz="18" w:space="0" w:color="000000"/>
              <w:bottom w:val="single" w:sz="18" w:space="0" w:color="000000"/>
            </w:tcBorders>
          </w:tcPr>
          <w:p>
            <w:pPr>
              <w:pStyle w:val="TableParagraph"/>
              <w:rPr>
                <w:rFonts w:ascii="Times New Roman"/>
                <w:sz w:val="14"/>
              </w:rPr>
            </w:pPr>
          </w:p>
        </w:tc>
      </w:tr>
      <w:tr>
        <w:trPr>
          <w:trHeight w:val="396" w:hRule="atLeast"/>
        </w:trPr>
        <w:tc>
          <w:tcPr>
            <w:tcW w:w="6410" w:type="dxa"/>
          </w:tcPr>
          <w:p>
            <w:pPr>
              <w:pStyle w:val="TableParagraph"/>
              <w:spacing w:before="135"/>
              <w:ind w:left="50"/>
              <w:rPr>
                <w:b/>
                <w:sz w:val="18"/>
              </w:rPr>
            </w:pPr>
            <w:r>
              <w:rPr>
                <w:b/>
                <w:sz w:val="18"/>
              </w:rPr>
              <w:t>Instituições</w:t>
            </w:r>
            <w:r>
              <w:rPr>
                <w:b/>
                <w:spacing w:val="-3"/>
                <w:sz w:val="18"/>
              </w:rPr>
              <w:t> </w:t>
            </w:r>
            <w:r>
              <w:rPr>
                <w:b/>
                <w:sz w:val="18"/>
              </w:rPr>
              <w:t>financeiras</w:t>
            </w:r>
            <w:r>
              <w:rPr>
                <w:b/>
                <w:spacing w:val="-3"/>
                <w:sz w:val="18"/>
              </w:rPr>
              <w:t> </w:t>
            </w:r>
            <w:r>
              <w:rPr>
                <w:b/>
                <w:sz w:val="18"/>
              </w:rPr>
              <w:t>e</w:t>
            </w:r>
            <w:r>
              <w:rPr>
                <w:b/>
                <w:spacing w:val="-1"/>
                <w:sz w:val="18"/>
              </w:rPr>
              <w:t> </w:t>
            </w:r>
            <w:r>
              <w:rPr>
                <w:b/>
                <w:spacing w:val="-2"/>
                <w:sz w:val="18"/>
              </w:rPr>
              <w:t>fornecedores</w:t>
            </w:r>
          </w:p>
        </w:tc>
        <w:tc>
          <w:tcPr>
            <w:tcW w:w="2483" w:type="dxa"/>
            <w:tcBorders>
              <w:top w:val="single" w:sz="18" w:space="0" w:color="000000"/>
            </w:tcBorders>
          </w:tcPr>
          <w:p>
            <w:pPr>
              <w:pStyle w:val="TableParagraph"/>
              <w:rPr>
                <w:rFonts w:ascii="Times New Roman"/>
                <w:sz w:val="18"/>
              </w:rPr>
            </w:pPr>
          </w:p>
        </w:tc>
        <w:tc>
          <w:tcPr>
            <w:tcW w:w="1346" w:type="dxa"/>
            <w:tcBorders>
              <w:top w:val="single" w:sz="18" w:space="0" w:color="000000"/>
            </w:tcBorders>
          </w:tcPr>
          <w:p>
            <w:pPr>
              <w:pStyle w:val="TableParagraph"/>
              <w:rPr>
                <w:rFonts w:ascii="Times New Roman"/>
                <w:sz w:val="18"/>
              </w:rPr>
            </w:pPr>
          </w:p>
        </w:tc>
        <w:tc>
          <w:tcPr>
            <w:tcW w:w="54" w:type="dxa"/>
            <w:tcBorders>
              <w:top w:val="single" w:sz="18" w:space="0" w:color="000000"/>
            </w:tcBorders>
          </w:tcPr>
          <w:p>
            <w:pPr>
              <w:pStyle w:val="TableParagraph"/>
              <w:rPr>
                <w:rFonts w:ascii="Times New Roman"/>
                <w:sz w:val="18"/>
              </w:rPr>
            </w:pPr>
          </w:p>
        </w:tc>
        <w:tc>
          <w:tcPr>
            <w:tcW w:w="60" w:type="dxa"/>
            <w:tcBorders>
              <w:top w:val="single" w:sz="18" w:space="0" w:color="000000"/>
            </w:tcBorders>
          </w:tcPr>
          <w:p>
            <w:pPr>
              <w:pStyle w:val="TableParagraph"/>
              <w:rPr>
                <w:rFonts w:ascii="Times New Roman"/>
                <w:sz w:val="18"/>
              </w:rPr>
            </w:pPr>
          </w:p>
        </w:tc>
      </w:tr>
      <w:tr>
        <w:trPr>
          <w:trHeight w:val="244" w:hRule="atLeast"/>
        </w:trPr>
        <w:tc>
          <w:tcPr>
            <w:tcW w:w="6410" w:type="dxa"/>
          </w:tcPr>
          <w:p>
            <w:pPr>
              <w:pStyle w:val="TableParagraph"/>
              <w:spacing w:line="216" w:lineRule="exact" w:before="8"/>
              <w:ind w:left="50"/>
              <w:rPr>
                <w:sz w:val="18"/>
              </w:rPr>
            </w:pPr>
            <w:r>
              <w:rPr>
                <w:sz w:val="18"/>
              </w:rPr>
              <w:t>Juros,</w:t>
            </w:r>
            <w:r>
              <w:rPr>
                <w:spacing w:val="-6"/>
                <w:sz w:val="18"/>
              </w:rPr>
              <w:t> </w:t>
            </w:r>
            <w:r>
              <w:rPr>
                <w:sz w:val="18"/>
              </w:rPr>
              <w:t>variações</w:t>
            </w:r>
            <w:r>
              <w:rPr>
                <w:spacing w:val="-4"/>
                <w:sz w:val="18"/>
              </w:rPr>
              <w:t> </w:t>
            </w:r>
            <w:r>
              <w:rPr>
                <w:sz w:val="18"/>
              </w:rPr>
              <w:t>cambiais</w:t>
            </w:r>
            <w:r>
              <w:rPr>
                <w:spacing w:val="-3"/>
                <w:sz w:val="18"/>
              </w:rPr>
              <w:t> </w:t>
            </w:r>
            <w:r>
              <w:rPr>
                <w:sz w:val="18"/>
              </w:rPr>
              <w:t>e</w:t>
            </w:r>
            <w:r>
              <w:rPr>
                <w:spacing w:val="-3"/>
                <w:sz w:val="18"/>
              </w:rPr>
              <w:t> </w:t>
            </w:r>
            <w:r>
              <w:rPr>
                <w:spacing w:val="-2"/>
                <w:sz w:val="18"/>
              </w:rPr>
              <w:t>monetárias</w:t>
            </w:r>
          </w:p>
        </w:tc>
        <w:tc>
          <w:tcPr>
            <w:tcW w:w="2483" w:type="dxa"/>
            <w:tcBorders>
              <w:bottom w:val="single" w:sz="24" w:space="0" w:color="000000"/>
            </w:tcBorders>
          </w:tcPr>
          <w:p>
            <w:pPr>
              <w:pStyle w:val="TableParagraph"/>
              <w:spacing w:line="151" w:lineRule="exact" w:before="58"/>
              <w:ind w:right="679"/>
              <w:jc w:val="right"/>
              <w:rPr>
                <w:sz w:val="18"/>
              </w:rPr>
            </w:pPr>
            <w:r>
              <w:rPr>
                <w:spacing w:val="-5"/>
                <w:sz w:val="18"/>
              </w:rPr>
              <w:t>216</w:t>
            </w:r>
          </w:p>
        </w:tc>
        <w:tc>
          <w:tcPr>
            <w:tcW w:w="1346" w:type="dxa"/>
            <w:tcBorders>
              <w:bottom w:val="single" w:sz="24" w:space="0" w:color="000000"/>
            </w:tcBorders>
          </w:tcPr>
          <w:p>
            <w:pPr>
              <w:pStyle w:val="TableParagraph"/>
              <w:spacing w:line="151" w:lineRule="exact" w:before="58"/>
              <w:ind w:right="-15"/>
              <w:jc w:val="right"/>
              <w:rPr>
                <w:sz w:val="18"/>
              </w:rPr>
            </w:pPr>
            <w:r>
              <w:rPr>
                <w:spacing w:val="-2"/>
                <w:sz w:val="18"/>
              </w:rPr>
              <w:t>1.160</w:t>
            </w:r>
          </w:p>
        </w:tc>
        <w:tc>
          <w:tcPr>
            <w:tcW w:w="54" w:type="dxa"/>
            <w:tcBorders>
              <w:bottom w:val="single" w:sz="24" w:space="0" w:color="000000"/>
            </w:tcBorders>
          </w:tcPr>
          <w:p>
            <w:pPr>
              <w:pStyle w:val="TableParagraph"/>
              <w:rPr>
                <w:rFonts w:ascii="Times New Roman"/>
                <w:sz w:val="16"/>
              </w:rPr>
            </w:pPr>
          </w:p>
        </w:tc>
        <w:tc>
          <w:tcPr>
            <w:tcW w:w="60" w:type="dxa"/>
          </w:tcPr>
          <w:p>
            <w:pPr>
              <w:pStyle w:val="TableParagraph"/>
              <w:rPr>
                <w:rFonts w:ascii="Times New Roman"/>
                <w:sz w:val="16"/>
              </w:rPr>
            </w:pPr>
          </w:p>
        </w:tc>
      </w:tr>
      <w:tr>
        <w:trPr>
          <w:trHeight w:val="210" w:hRule="atLeast"/>
        </w:trPr>
        <w:tc>
          <w:tcPr>
            <w:tcW w:w="6410" w:type="dxa"/>
          </w:tcPr>
          <w:p>
            <w:pPr>
              <w:pStyle w:val="TableParagraph"/>
              <w:rPr>
                <w:rFonts w:ascii="Times New Roman"/>
                <w:sz w:val="10"/>
              </w:rPr>
            </w:pPr>
          </w:p>
        </w:tc>
        <w:tc>
          <w:tcPr>
            <w:tcW w:w="2483" w:type="dxa"/>
            <w:tcBorders>
              <w:top w:val="single" w:sz="24" w:space="0" w:color="000000"/>
              <w:bottom w:val="single" w:sz="24" w:space="0" w:color="000000"/>
            </w:tcBorders>
          </w:tcPr>
          <w:p>
            <w:pPr>
              <w:pStyle w:val="TableParagraph"/>
              <w:spacing w:line="134" w:lineRule="exact" w:before="39"/>
              <w:ind w:right="679"/>
              <w:jc w:val="right"/>
              <w:rPr>
                <w:sz w:val="18"/>
              </w:rPr>
            </w:pPr>
            <w:r>
              <w:rPr>
                <w:spacing w:val="-5"/>
                <w:sz w:val="18"/>
              </w:rPr>
              <w:t>216</w:t>
            </w:r>
          </w:p>
        </w:tc>
        <w:tc>
          <w:tcPr>
            <w:tcW w:w="1346" w:type="dxa"/>
            <w:tcBorders>
              <w:top w:val="single" w:sz="24" w:space="0" w:color="000000"/>
              <w:bottom w:val="single" w:sz="24" w:space="0" w:color="000000"/>
            </w:tcBorders>
          </w:tcPr>
          <w:p>
            <w:pPr>
              <w:pStyle w:val="TableParagraph"/>
              <w:spacing w:line="134" w:lineRule="exact" w:before="39"/>
              <w:ind w:right="-15"/>
              <w:jc w:val="right"/>
              <w:rPr>
                <w:sz w:val="18"/>
              </w:rPr>
            </w:pPr>
            <w:r>
              <w:rPr>
                <w:spacing w:val="-2"/>
                <w:sz w:val="18"/>
              </w:rPr>
              <w:t>1.160</w:t>
            </w:r>
          </w:p>
        </w:tc>
        <w:tc>
          <w:tcPr>
            <w:tcW w:w="54" w:type="dxa"/>
            <w:tcBorders>
              <w:top w:val="single" w:sz="24" w:space="0" w:color="000000"/>
              <w:bottom w:val="single" w:sz="24" w:space="0" w:color="000000"/>
            </w:tcBorders>
          </w:tcPr>
          <w:p>
            <w:pPr>
              <w:pStyle w:val="TableParagraph"/>
              <w:rPr>
                <w:rFonts w:ascii="Times New Roman"/>
                <w:sz w:val="12"/>
              </w:rPr>
            </w:pPr>
          </w:p>
        </w:tc>
        <w:tc>
          <w:tcPr>
            <w:tcW w:w="60" w:type="dxa"/>
          </w:tcPr>
          <w:p>
            <w:pPr>
              <w:pStyle w:val="TableParagraph"/>
              <w:rPr>
                <w:rFonts w:ascii="Times New Roman"/>
                <w:sz w:val="16"/>
              </w:rPr>
            </w:pPr>
          </w:p>
        </w:tc>
      </w:tr>
      <w:tr>
        <w:trPr>
          <w:trHeight w:val="249" w:hRule="atLeast"/>
        </w:trPr>
        <w:tc>
          <w:tcPr>
            <w:tcW w:w="6410" w:type="dxa"/>
          </w:tcPr>
          <w:p>
            <w:pPr>
              <w:pStyle w:val="TableParagraph"/>
              <w:spacing w:before="37"/>
              <w:ind w:left="50"/>
              <w:rPr>
                <w:b/>
                <w:sz w:val="18"/>
              </w:rPr>
            </w:pPr>
            <w:r>
              <w:rPr>
                <w:b/>
                <w:spacing w:val="-2"/>
                <w:sz w:val="18"/>
              </w:rPr>
              <w:t>Acionistas</w:t>
            </w:r>
          </w:p>
        </w:tc>
        <w:tc>
          <w:tcPr>
            <w:tcW w:w="2483" w:type="dxa"/>
            <w:tcBorders>
              <w:top w:val="single" w:sz="24" w:space="0" w:color="000000"/>
              <w:bottom w:val="single" w:sz="24" w:space="0" w:color="000000"/>
            </w:tcBorders>
          </w:tcPr>
          <w:p>
            <w:pPr>
              <w:pStyle w:val="TableParagraph"/>
              <w:rPr>
                <w:rFonts w:ascii="Times New Roman"/>
                <w:sz w:val="18"/>
              </w:rPr>
            </w:pPr>
          </w:p>
        </w:tc>
        <w:tc>
          <w:tcPr>
            <w:tcW w:w="1346" w:type="dxa"/>
            <w:tcBorders>
              <w:top w:val="single" w:sz="24" w:space="0" w:color="000000"/>
              <w:bottom w:val="single" w:sz="24" w:space="0" w:color="000000"/>
            </w:tcBorders>
          </w:tcPr>
          <w:p>
            <w:pPr>
              <w:pStyle w:val="TableParagraph"/>
              <w:rPr>
                <w:rFonts w:ascii="Times New Roman"/>
                <w:sz w:val="18"/>
              </w:rPr>
            </w:pPr>
          </w:p>
        </w:tc>
        <w:tc>
          <w:tcPr>
            <w:tcW w:w="54" w:type="dxa"/>
            <w:tcBorders>
              <w:top w:val="single" w:sz="24" w:space="0" w:color="000000"/>
              <w:bottom w:val="single" w:sz="24" w:space="0" w:color="000000"/>
            </w:tcBorders>
          </w:tcPr>
          <w:p>
            <w:pPr>
              <w:pStyle w:val="TableParagraph"/>
              <w:rPr>
                <w:rFonts w:ascii="Times New Roman"/>
                <w:sz w:val="18"/>
              </w:rPr>
            </w:pPr>
          </w:p>
        </w:tc>
        <w:tc>
          <w:tcPr>
            <w:tcW w:w="60" w:type="dxa"/>
          </w:tcPr>
          <w:p>
            <w:pPr>
              <w:pStyle w:val="TableParagraph"/>
              <w:rPr>
                <w:rFonts w:ascii="Times New Roman"/>
                <w:sz w:val="18"/>
              </w:rPr>
            </w:pPr>
          </w:p>
        </w:tc>
      </w:tr>
      <w:tr>
        <w:trPr>
          <w:trHeight w:val="194" w:hRule="atLeast"/>
        </w:trPr>
        <w:tc>
          <w:tcPr>
            <w:tcW w:w="6410" w:type="dxa"/>
          </w:tcPr>
          <w:p>
            <w:pPr>
              <w:pStyle w:val="TableParagraph"/>
              <w:spacing w:line="172" w:lineRule="exact"/>
              <w:ind w:left="50"/>
              <w:rPr>
                <w:sz w:val="18"/>
              </w:rPr>
            </w:pPr>
            <w:r>
              <w:rPr>
                <w:sz w:val="18"/>
              </w:rPr>
              <w:t>Lucro</w:t>
            </w:r>
            <w:r>
              <w:rPr>
                <w:spacing w:val="-4"/>
                <w:sz w:val="18"/>
              </w:rPr>
              <w:t> </w:t>
            </w:r>
            <w:r>
              <w:rPr>
                <w:spacing w:val="-2"/>
                <w:sz w:val="18"/>
              </w:rPr>
              <w:t>retido</w:t>
            </w:r>
          </w:p>
        </w:tc>
        <w:tc>
          <w:tcPr>
            <w:tcW w:w="2483" w:type="dxa"/>
            <w:tcBorders>
              <w:top w:val="single" w:sz="24" w:space="0" w:color="000000"/>
              <w:bottom w:val="single" w:sz="24" w:space="0" w:color="000000"/>
            </w:tcBorders>
          </w:tcPr>
          <w:p>
            <w:pPr>
              <w:pStyle w:val="TableParagraph"/>
              <w:spacing w:line="164" w:lineRule="exact" w:before="8"/>
              <w:ind w:right="679"/>
              <w:jc w:val="right"/>
              <w:rPr>
                <w:sz w:val="18"/>
              </w:rPr>
            </w:pPr>
            <w:r>
              <w:rPr>
                <w:spacing w:val="-2"/>
                <w:sz w:val="18"/>
              </w:rPr>
              <w:t>1.472</w:t>
            </w:r>
          </w:p>
        </w:tc>
        <w:tc>
          <w:tcPr>
            <w:tcW w:w="1346" w:type="dxa"/>
            <w:tcBorders>
              <w:top w:val="single" w:sz="24" w:space="0" w:color="000000"/>
              <w:bottom w:val="single" w:sz="24" w:space="0" w:color="000000"/>
            </w:tcBorders>
          </w:tcPr>
          <w:p>
            <w:pPr>
              <w:pStyle w:val="TableParagraph"/>
              <w:spacing w:line="164" w:lineRule="exact" w:before="8"/>
              <w:ind w:right="-15"/>
              <w:jc w:val="right"/>
              <w:rPr>
                <w:sz w:val="18"/>
              </w:rPr>
            </w:pPr>
            <w:r>
              <w:rPr>
                <w:spacing w:val="-2"/>
                <w:sz w:val="18"/>
              </w:rPr>
              <w:t>64.302</w:t>
            </w:r>
          </w:p>
        </w:tc>
        <w:tc>
          <w:tcPr>
            <w:tcW w:w="54" w:type="dxa"/>
            <w:tcBorders>
              <w:top w:val="single" w:sz="24" w:space="0" w:color="000000"/>
              <w:bottom w:val="single" w:sz="24" w:space="0" w:color="000000"/>
            </w:tcBorders>
          </w:tcPr>
          <w:p>
            <w:pPr>
              <w:pStyle w:val="TableParagraph"/>
              <w:rPr>
                <w:rFonts w:ascii="Times New Roman"/>
                <w:sz w:val="12"/>
              </w:rPr>
            </w:pPr>
          </w:p>
        </w:tc>
        <w:tc>
          <w:tcPr>
            <w:tcW w:w="60" w:type="dxa"/>
          </w:tcPr>
          <w:p>
            <w:pPr>
              <w:pStyle w:val="TableParagraph"/>
              <w:rPr>
                <w:rFonts w:ascii="Times New Roman"/>
                <w:sz w:val="12"/>
              </w:rPr>
            </w:pPr>
          </w:p>
        </w:tc>
      </w:tr>
      <w:tr>
        <w:trPr>
          <w:trHeight w:val="210" w:hRule="atLeast"/>
        </w:trPr>
        <w:tc>
          <w:tcPr>
            <w:tcW w:w="6410" w:type="dxa"/>
          </w:tcPr>
          <w:p>
            <w:pPr>
              <w:pStyle w:val="TableParagraph"/>
              <w:rPr>
                <w:rFonts w:ascii="Times New Roman"/>
                <w:sz w:val="12"/>
              </w:rPr>
            </w:pPr>
          </w:p>
        </w:tc>
        <w:tc>
          <w:tcPr>
            <w:tcW w:w="2483" w:type="dxa"/>
            <w:tcBorders>
              <w:top w:val="single" w:sz="24" w:space="0" w:color="000000"/>
              <w:bottom w:val="single" w:sz="24" w:space="0" w:color="000000"/>
            </w:tcBorders>
          </w:tcPr>
          <w:p>
            <w:pPr>
              <w:pStyle w:val="TableParagraph"/>
              <w:spacing w:line="145" w:lineRule="exact" w:before="26"/>
              <w:ind w:right="679"/>
              <w:jc w:val="right"/>
              <w:rPr>
                <w:sz w:val="18"/>
              </w:rPr>
            </w:pPr>
            <w:r>
              <w:rPr>
                <w:spacing w:val="-2"/>
                <w:sz w:val="18"/>
              </w:rPr>
              <w:t>1.472</w:t>
            </w:r>
          </w:p>
        </w:tc>
        <w:tc>
          <w:tcPr>
            <w:tcW w:w="1346" w:type="dxa"/>
            <w:tcBorders>
              <w:top w:val="single" w:sz="24" w:space="0" w:color="000000"/>
              <w:bottom w:val="single" w:sz="24" w:space="0" w:color="000000"/>
            </w:tcBorders>
          </w:tcPr>
          <w:p>
            <w:pPr>
              <w:pStyle w:val="TableParagraph"/>
              <w:spacing w:line="145" w:lineRule="exact" w:before="26"/>
              <w:ind w:right="-15"/>
              <w:jc w:val="right"/>
              <w:rPr>
                <w:sz w:val="18"/>
              </w:rPr>
            </w:pPr>
            <w:r>
              <w:rPr>
                <w:spacing w:val="-2"/>
                <w:sz w:val="18"/>
              </w:rPr>
              <w:t>64.302</w:t>
            </w:r>
          </w:p>
        </w:tc>
        <w:tc>
          <w:tcPr>
            <w:tcW w:w="54" w:type="dxa"/>
            <w:tcBorders>
              <w:top w:val="single" w:sz="24" w:space="0" w:color="000000"/>
              <w:bottom w:val="single" w:sz="24" w:space="0" w:color="000000"/>
            </w:tcBorders>
          </w:tcPr>
          <w:p>
            <w:pPr>
              <w:pStyle w:val="TableParagraph"/>
              <w:rPr>
                <w:rFonts w:ascii="Times New Roman"/>
                <w:sz w:val="12"/>
              </w:rPr>
            </w:pPr>
          </w:p>
        </w:tc>
        <w:tc>
          <w:tcPr>
            <w:tcW w:w="60" w:type="dxa"/>
          </w:tcPr>
          <w:p>
            <w:pPr>
              <w:pStyle w:val="TableParagraph"/>
              <w:rPr>
                <w:rFonts w:ascii="Times New Roman"/>
                <w:sz w:val="14"/>
              </w:rPr>
            </w:pPr>
          </w:p>
        </w:tc>
      </w:tr>
      <w:tr>
        <w:trPr>
          <w:trHeight w:val="238" w:hRule="atLeast"/>
        </w:trPr>
        <w:tc>
          <w:tcPr>
            <w:tcW w:w="6410" w:type="dxa"/>
          </w:tcPr>
          <w:p>
            <w:pPr>
              <w:pStyle w:val="TableParagraph"/>
              <w:spacing w:before="11"/>
              <w:ind w:left="50"/>
              <w:rPr>
                <w:sz w:val="18"/>
              </w:rPr>
            </w:pPr>
            <w:r>
              <w:rPr>
                <w:sz w:val="18"/>
              </w:rPr>
              <w:t>Valor</w:t>
            </w:r>
            <w:r>
              <w:rPr>
                <w:spacing w:val="-5"/>
                <w:sz w:val="18"/>
              </w:rPr>
              <w:t> </w:t>
            </w:r>
            <w:r>
              <w:rPr>
                <w:sz w:val="18"/>
              </w:rPr>
              <w:t>adicionado</w:t>
            </w:r>
            <w:r>
              <w:rPr>
                <w:spacing w:val="-4"/>
                <w:sz w:val="18"/>
              </w:rPr>
              <w:t> </w:t>
            </w:r>
            <w:r>
              <w:rPr>
                <w:sz w:val="18"/>
              </w:rPr>
              <w:t>(consumido)</w:t>
            </w:r>
            <w:r>
              <w:rPr>
                <w:spacing w:val="-3"/>
                <w:sz w:val="18"/>
              </w:rPr>
              <w:t> </w:t>
            </w:r>
            <w:r>
              <w:rPr>
                <w:spacing w:val="-2"/>
                <w:sz w:val="18"/>
              </w:rPr>
              <w:t>distribuído</w:t>
            </w:r>
          </w:p>
        </w:tc>
        <w:tc>
          <w:tcPr>
            <w:tcW w:w="2483" w:type="dxa"/>
            <w:tcBorders>
              <w:top w:val="single" w:sz="24" w:space="0" w:color="000000"/>
              <w:bottom w:val="single" w:sz="24" w:space="0" w:color="000000"/>
            </w:tcBorders>
          </w:tcPr>
          <w:p>
            <w:pPr>
              <w:pStyle w:val="TableParagraph"/>
              <w:spacing w:line="211" w:lineRule="exact" w:before="27"/>
              <w:ind w:right="679"/>
              <w:jc w:val="right"/>
              <w:rPr>
                <w:sz w:val="18"/>
              </w:rPr>
            </w:pPr>
            <w:r>
              <w:rPr>
                <w:spacing w:val="-2"/>
                <w:sz w:val="18"/>
              </w:rPr>
              <w:t>7.569</w:t>
            </w:r>
          </w:p>
        </w:tc>
        <w:tc>
          <w:tcPr>
            <w:tcW w:w="1346" w:type="dxa"/>
            <w:tcBorders>
              <w:top w:val="single" w:sz="24" w:space="0" w:color="000000"/>
              <w:bottom w:val="single" w:sz="24" w:space="0" w:color="000000"/>
            </w:tcBorders>
          </w:tcPr>
          <w:p>
            <w:pPr>
              <w:pStyle w:val="TableParagraph"/>
              <w:spacing w:line="211" w:lineRule="exact" w:before="27"/>
              <w:ind w:right="53"/>
              <w:jc w:val="right"/>
              <w:rPr>
                <w:sz w:val="18"/>
              </w:rPr>
            </w:pPr>
            <w:r>
              <w:rPr>
                <w:spacing w:val="-2"/>
                <w:sz w:val="18"/>
              </w:rPr>
              <w:t>(10.788)</w:t>
            </w:r>
          </w:p>
        </w:tc>
        <w:tc>
          <w:tcPr>
            <w:tcW w:w="54" w:type="dxa"/>
            <w:tcBorders>
              <w:top w:val="single" w:sz="24" w:space="0" w:color="000000"/>
            </w:tcBorders>
          </w:tcPr>
          <w:p>
            <w:pPr>
              <w:pStyle w:val="TableParagraph"/>
              <w:rPr>
                <w:rFonts w:ascii="Times New Roman"/>
                <w:sz w:val="18"/>
              </w:rPr>
            </w:pPr>
          </w:p>
        </w:tc>
        <w:tc>
          <w:tcPr>
            <w:tcW w:w="60" w:type="dxa"/>
          </w:tcPr>
          <w:p>
            <w:pPr>
              <w:pStyle w:val="TableParagraph"/>
              <w:rPr>
                <w:rFonts w:ascii="Times New Roman"/>
                <w:sz w:val="16"/>
              </w:rPr>
            </w:pPr>
          </w:p>
        </w:tc>
      </w:tr>
      <w:tr>
        <w:trPr>
          <w:trHeight w:val="635" w:hRule="atLeast"/>
        </w:trPr>
        <w:tc>
          <w:tcPr>
            <w:tcW w:w="6410" w:type="dxa"/>
          </w:tcPr>
          <w:p>
            <w:pPr>
              <w:pStyle w:val="TableParagraph"/>
              <w:rPr>
                <w:i/>
                <w:sz w:val="14"/>
              </w:rPr>
            </w:pPr>
          </w:p>
          <w:p>
            <w:pPr>
              <w:pStyle w:val="TableParagraph"/>
              <w:spacing w:before="124"/>
              <w:rPr>
                <w:i/>
                <w:sz w:val="14"/>
              </w:rPr>
            </w:pPr>
          </w:p>
          <w:p>
            <w:pPr>
              <w:pStyle w:val="TableParagraph"/>
              <w:spacing w:line="148" w:lineRule="exact" w:before="1"/>
              <w:ind w:left="50"/>
              <w:rPr>
                <w:sz w:val="14"/>
              </w:rPr>
            </w:pPr>
            <w:r>
              <w:rPr>
                <w:sz w:val="14"/>
              </w:rPr>
              <w:t>As</w:t>
            </w:r>
            <w:r>
              <w:rPr>
                <w:spacing w:val="-5"/>
                <w:sz w:val="14"/>
              </w:rPr>
              <w:t> </w:t>
            </w:r>
            <w:r>
              <w:rPr>
                <w:sz w:val="14"/>
              </w:rPr>
              <w:t>notas</w:t>
            </w:r>
            <w:r>
              <w:rPr>
                <w:spacing w:val="-3"/>
                <w:sz w:val="14"/>
              </w:rPr>
              <w:t> </w:t>
            </w:r>
            <w:r>
              <w:rPr>
                <w:sz w:val="14"/>
              </w:rPr>
              <w:t>explicativas</w:t>
            </w:r>
            <w:r>
              <w:rPr>
                <w:spacing w:val="-6"/>
                <w:sz w:val="14"/>
              </w:rPr>
              <w:t> </w:t>
            </w:r>
            <w:r>
              <w:rPr>
                <w:sz w:val="14"/>
              </w:rPr>
              <w:t>são</w:t>
            </w:r>
            <w:r>
              <w:rPr>
                <w:spacing w:val="-3"/>
                <w:sz w:val="14"/>
              </w:rPr>
              <w:t> </w:t>
            </w:r>
            <w:r>
              <w:rPr>
                <w:sz w:val="14"/>
              </w:rPr>
              <w:t>parte</w:t>
            </w:r>
            <w:r>
              <w:rPr>
                <w:spacing w:val="-5"/>
                <w:sz w:val="14"/>
              </w:rPr>
              <w:t> </w:t>
            </w:r>
            <w:r>
              <w:rPr>
                <w:sz w:val="14"/>
              </w:rPr>
              <w:t>integrante</w:t>
            </w:r>
            <w:r>
              <w:rPr>
                <w:spacing w:val="-6"/>
                <w:sz w:val="14"/>
              </w:rPr>
              <w:t> </w:t>
            </w:r>
            <w:r>
              <w:rPr>
                <w:sz w:val="14"/>
              </w:rPr>
              <w:t>das</w:t>
            </w:r>
            <w:r>
              <w:rPr>
                <w:spacing w:val="-5"/>
                <w:sz w:val="14"/>
              </w:rPr>
              <w:t> </w:t>
            </w:r>
            <w:r>
              <w:rPr>
                <w:sz w:val="14"/>
              </w:rPr>
              <w:t>demonstrações</w:t>
            </w:r>
            <w:r>
              <w:rPr>
                <w:spacing w:val="-4"/>
                <w:sz w:val="14"/>
              </w:rPr>
              <w:t> </w:t>
            </w:r>
            <w:r>
              <w:rPr>
                <w:spacing w:val="-2"/>
                <w:sz w:val="14"/>
              </w:rPr>
              <w:t>financeiras.</w:t>
            </w:r>
          </w:p>
        </w:tc>
        <w:tc>
          <w:tcPr>
            <w:tcW w:w="2483" w:type="dxa"/>
            <w:tcBorders>
              <w:top w:val="single" w:sz="24" w:space="0" w:color="000000"/>
            </w:tcBorders>
          </w:tcPr>
          <w:p>
            <w:pPr>
              <w:pStyle w:val="TableParagraph"/>
              <w:rPr>
                <w:rFonts w:ascii="Times New Roman"/>
                <w:sz w:val="18"/>
              </w:rPr>
            </w:pPr>
          </w:p>
        </w:tc>
        <w:tc>
          <w:tcPr>
            <w:tcW w:w="1346" w:type="dxa"/>
            <w:tcBorders>
              <w:top w:val="single" w:sz="24" w:space="0" w:color="000000"/>
            </w:tcBorders>
          </w:tcPr>
          <w:p>
            <w:pPr>
              <w:pStyle w:val="TableParagraph"/>
              <w:rPr>
                <w:rFonts w:ascii="Times New Roman"/>
                <w:sz w:val="18"/>
              </w:rPr>
            </w:pPr>
          </w:p>
        </w:tc>
        <w:tc>
          <w:tcPr>
            <w:tcW w:w="54" w:type="dxa"/>
          </w:tcPr>
          <w:p>
            <w:pPr>
              <w:pStyle w:val="TableParagraph"/>
              <w:rPr>
                <w:rFonts w:ascii="Times New Roman"/>
                <w:sz w:val="18"/>
              </w:rPr>
            </w:pPr>
          </w:p>
        </w:tc>
        <w:tc>
          <w:tcPr>
            <w:tcW w:w="60" w:type="dxa"/>
          </w:tcPr>
          <w:p>
            <w:pPr>
              <w:pStyle w:val="TableParagraph"/>
              <w:rPr>
                <w:rFonts w:ascii="Times New Roman"/>
                <w:sz w:val="18"/>
              </w:rPr>
            </w:pPr>
          </w:p>
        </w:tc>
      </w:tr>
    </w:tbl>
    <w:p>
      <w:pPr>
        <w:spacing w:after="0"/>
        <w:rPr>
          <w:rFonts w:ascii="Times New Roman"/>
          <w:sz w:val="18"/>
        </w:rPr>
        <w:sectPr>
          <w:headerReference w:type="default" r:id="rId16"/>
          <w:footerReference w:type="default" r:id="rId17"/>
          <w:pgSz w:w="11910" w:h="16840"/>
          <w:pgMar w:header="637" w:footer="650" w:top="1160" w:bottom="840" w:left="700" w:right="480"/>
          <w:pgNumType w:start="16"/>
        </w:sectPr>
      </w:pPr>
    </w:p>
    <w:p>
      <w:pPr>
        <w:pStyle w:val="Heading4"/>
        <w:spacing w:line="282" w:lineRule="exact"/>
        <w:ind w:left="152"/>
      </w:pPr>
      <w:bookmarkStart w:name="_TOC_250016" w:id="9"/>
      <w:r>
        <w:rPr/>
        <w:t>Notas</w:t>
      </w:r>
      <w:r>
        <w:rPr>
          <w:spacing w:val="-1"/>
        </w:rPr>
        <w:t> </w:t>
      </w:r>
      <w:bookmarkEnd w:id="9"/>
      <w:r>
        <w:rPr>
          <w:spacing w:val="-2"/>
        </w:rPr>
        <w:t>explicativas</w:t>
      </w:r>
    </w:p>
    <w:p>
      <w:pPr>
        <w:spacing w:before="3"/>
        <w:ind w:left="152" w:right="0" w:firstLine="0"/>
        <w:jc w:val="both"/>
        <w:rPr>
          <w:i/>
          <w:sz w:val="20"/>
        </w:rPr>
      </w:pPr>
      <w:r>
        <w:rPr/>
        <mc:AlternateContent>
          <mc:Choice Requires="wps">
            <w:drawing>
              <wp:anchor distT="0" distB="0" distL="0" distR="0" allowOverlap="1" layoutInCell="1" locked="0" behindDoc="1" simplePos="0" relativeHeight="487600128">
                <wp:simplePos x="0" y="0"/>
                <wp:positionH relativeFrom="page">
                  <wp:posOffset>522731</wp:posOffset>
                </wp:positionH>
                <wp:positionV relativeFrom="paragraph">
                  <wp:posOffset>170912</wp:posOffset>
                </wp:positionV>
                <wp:extent cx="6517640" cy="1270"/>
                <wp:effectExtent l="0" t="0" r="0" b="0"/>
                <wp:wrapTopAndBottom/>
                <wp:docPr id="56" name="Graphic 56"/>
                <wp:cNvGraphicFramePr>
                  <a:graphicFrameLocks/>
                </wp:cNvGraphicFramePr>
                <a:graphic>
                  <a:graphicData uri="http://schemas.microsoft.com/office/word/2010/wordprocessingShape">
                    <wps:wsp>
                      <wps:cNvPr id="56" name="Graphic 56"/>
                      <wps:cNvSpPr/>
                      <wps:spPr>
                        <a:xfrm>
                          <a:off x="0" y="0"/>
                          <a:ext cx="6517640" cy="1270"/>
                        </a:xfrm>
                        <a:custGeom>
                          <a:avLst/>
                          <a:gdLst/>
                          <a:ahLst/>
                          <a:cxnLst/>
                          <a:rect l="l" t="t" r="r" b="b"/>
                          <a:pathLst>
                            <a:path w="6517640" h="0">
                              <a:moveTo>
                                <a:pt x="0" y="0"/>
                              </a:moveTo>
                              <a:lnTo>
                                <a:pt x="6517385"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16pt;margin-top:13.457673pt;width:513.2pt;height:.1pt;mso-position-horizontal-relative:page;mso-position-vertical-relative:paragraph;z-index:-15716352;mso-wrap-distance-left:0;mso-wrap-distance-right:0" id="docshape42" coordorigin="823,269" coordsize="10264,0" path="m823,269l11087,269e" filled="false" stroked="true" strokeweight="1.44pt" strokecolor="#000000">
                <v:path arrowok="t"/>
                <v:stroke dashstyle="solid"/>
                <w10:wrap type="topAndBottom"/>
              </v:shape>
            </w:pict>
          </mc:Fallback>
        </mc:AlternateContent>
      </w:r>
      <w:r>
        <w:rPr>
          <w:i/>
          <w:sz w:val="20"/>
        </w:rPr>
        <w:t>(Em</w:t>
      </w:r>
      <w:r>
        <w:rPr>
          <w:i/>
          <w:spacing w:val="-4"/>
          <w:sz w:val="20"/>
        </w:rPr>
        <w:t> </w:t>
      </w:r>
      <w:r>
        <w:rPr>
          <w:i/>
          <w:sz w:val="20"/>
        </w:rPr>
        <w:t>milhares</w:t>
      </w:r>
      <w:r>
        <w:rPr>
          <w:i/>
          <w:spacing w:val="-4"/>
          <w:sz w:val="20"/>
        </w:rPr>
        <w:t> </w:t>
      </w:r>
      <w:r>
        <w:rPr>
          <w:i/>
          <w:sz w:val="20"/>
        </w:rPr>
        <w:t>de</w:t>
      </w:r>
      <w:r>
        <w:rPr>
          <w:i/>
          <w:spacing w:val="-3"/>
          <w:sz w:val="20"/>
        </w:rPr>
        <w:t> </w:t>
      </w:r>
      <w:r>
        <w:rPr>
          <w:i/>
          <w:sz w:val="20"/>
        </w:rPr>
        <w:t>reais,</w:t>
      </w:r>
      <w:r>
        <w:rPr>
          <w:i/>
          <w:spacing w:val="-2"/>
          <w:sz w:val="20"/>
        </w:rPr>
        <w:t> </w:t>
      </w:r>
      <w:r>
        <w:rPr>
          <w:i/>
          <w:sz w:val="20"/>
        </w:rPr>
        <w:t>exceto</w:t>
      </w:r>
      <w:r>
        <w:rPr>
          <w:i/>
          <w:spacing w:val="-4"/>
          <w:sz w:val="20"/>
        </w:rPr>
        <w:t> </w:t>
      </w:r>
      <w:r>
        <w:rPr>
          <w:i/>
          <w:sz w:val="20"/>
        </w:rPr>
        <w:t>quando</w:t>
      </w:r>
      <w:r>
        <w:rPr>
          <w:i/>
          <w:spacing w:val="-3"/>
          <w:sz w:val="20"/>
        </w:rPr>
        <w:t> </w:t>
      </w:r>
      <w:r>
        <w:rPr>
          <w:i/>
          <w:sz w:val="20"/>
        </w:rPr>
        <w:t>indicado</w:t>
      </w:r>
      <w:r>
        <w:rPr>
          <w:i/>
          <w:spacing w:val="-4"/>
          <w:sz w:val="20"/>
        </w:rPr>
        <w:t> </w:t>
      </w:r>
      <w:r>
        <w:rPr>
          <w:i/>
          <w:sz w:val="20"/>
        </w:rPr>
        <w:t>em</w:t>
      </w:r>
      <w:r>
        <w:rPr>
          <w:i/>
          <w:spacing w:val="-3"/>
          <w:sz w:val="20"/>
        </w:rPr>
        <w:t> </w:t>
      </w:r>
      <w:r>
        <w:rPr>
          <w:i/>
          <w:spacing w:val="-2"/>
          <w:sz w:val="20"/>
        </w:rPr>
        <w:t>contrário)</w:t>
      </w:r>
    </w:p>
    <w:p>
      <w:pPr>
        <w:pStyle w:val="BodyText"/>
        <w:spacing w:before="5"/>
        <w:rPr>
          <w:i/>
          <w:sz w:val="20"/>
        </w:rPr>
      </w:pPr>
    </w:p>
    <w:p>
      <w:pPr>
        <w:pStyle w:val="Heading3"/>
        <w:numPr>
          <w:ilvl w:val="0"/>
          <w:numId w:val="4"/>
        </w:numPr>
        <w:tabs>
          <w:tab w:pos="718" w:val="left" w:leader="none"/>
        </w:tabs>
        <w:spacing w:line="240" w:lineRule="auto" w:before="0" w:after="0"/>
        <w:ind w:left="718" w:right="0" w:hanging="568"/>
        <w:jc w:val="left"/>
      </w:pPr>
      <w:bookmarkStart w:name="_TOC_250015" w:id="10"/>
      <w:r>
        <w:rPr/>
        <w:t>A</w:t>
      </w:r>
      <w:r>
        <w:rPr>
          <w:spacing w:val="-3"/>
        </w:rPr>
        <w:t> </w:t>
      </w:r>
      <w:r>
        <w:rPr/>
        <w:t>Companhia</w:t>
      </w:r>
      <w:r>
        <w:rPr>
          <w:spacing w:val="-3"/>
        </w:rPr>
        <w:t> </w:t>
      </w:r>
      <w:r>
        <w:rPr/>
        <w:t>e</w:t>
      </w:r>
      <w:r>
        <w:rPr>
          <w:spacing w:val="-3"/>
        </w:rPr>
        <w:t> </w:t>
      </w:r>
      <w:r>
        <w:rPr/>
        <w:t>suas</w:t>
      </w:r>
      <w:r>
        <w:rPr>
          <w:spacing w:val="-6"/>
        </w:rPr>
        <w:t> </w:t>
      </w:r>
      <w:bookmarkEnd w:id="10"/>
      <w:r>
        <w:rPr>
          <w:spacing w:val="-2"/>
        </w:rPr>
        <w:t>operações</w:t>
      </w:r>
    </w:p>
    <w:p>
      <w:pPr>
        <w:pStyle w:val="BodyText"/>
        <w:spacing w:before="240"/>
        <w:ind w:left="151" w:right="356"/>
        <w:jc w:val="both"/>
      </w:pPr>
      <w:r>
        <w:rPr/>
        <w:t>A Araucária Nitrogenados S.A. “Araucária”, “ANSA” ou “Companhia” é uma subsidiária integral da Petróleo Brasileiro S.A. – Petrobras. A Companhia está localizada na cidade de Araucária, no Estado do Paraná, tinha como atividades principais, antes da hibernação, a industrialização e a comercialização de fertilizantes e produtos </w:t>
      </w:r>
      <w:r>
        <w:rPr>
          <w:spacing w:val="-2"/>
        </w:rPr>
        <w:t>químicos.</w:t>
      </w:r>
    </w:p>
    <w:p>
      <w:pPr>
        <w:pStyle w:val="BodyText"/>
        <w:spacing w:before="241"/>
        <w:ind w:left="151" w:right="357"/>
        <w:jc w:val="both"/>
      </w:pPr>
      <w:r>
        <w:rPr/>
        <w:t>A Companhia apresentou déficits operacionais desde sua aquisição em 01 de junho de 2013 ocasionados pelas paradas programadas e, principalmente, pelas não programadas para atender às falhas sistêmicas relacionadas com a caldeira geradora de vapor da planta de fertilizantes. Somente</w:t>
      </w:r>
      <w:r>
        <w:rPr>
          <w:spacing w:val="-1"/>
        </w:rPr>
        <w:t> </w:t>
      </w:r>
      <w:r>
        <w:rPr/>
        <w:t>no ano de 2015 o resultado líquido e o fluxo de caixa ajustado (Ebitda – Lucro antes dos impostos, juros, depreciação e amortização) da Companhia foram positivos e a planta operou com Fator de Utilização – FUT de 84%. Nos demais exercícios de 2014 a 2019 o FUT médio apresentado variou entre 52% e 56%.</w:t>
      </w:r>
      <w:r>
        <w:rPr>
          <w:spacing w:val="-1"/>
        </w:rPr>
        <w:t> </w:t>
      </w:r>
      <w:r>
        <w:rPr/>
        <w:t>Em</w:t>
      </w:r>
      <w:r>
        <w:rPr>
          <w:spacing w:val="-1"/>
        </w:rPr>
        <w:t> </w:t>
      </w:r>
      <w:r>
        <w:rPr/>
        <w:t>função disso,</w:t>
      </w:r>
      <w:r>
        <w:rPr>
          <w:spacing w:val="-1"/>
        </w:rPr>
        <w:t> </w:t>
      </w:r>
      <w:r>
        <w:rPr/>
        <w:t>a Companhia vem realizando,</w:t>
      </w:r>
      <w:r>
        <w:rPr>
          <w:spacing w:val="-1"/>
        </w:rPr>
        <w:t> </w:t>
      </w:r>
      <w:r>
        <w:rPr/>
        <w:t>anualmente, teste</w:t>
      </w:r>
      <w:r>
        <w:rPr>
          <w:spacing w:val="-1"/>
        </w:rPr>
        <w:t> </w:t>
      </w:r>
      <w:r>
        <w:rPr/>
        <w:t>de impairment e, em 2018, baixou totalmente o imobilizado. Em 31 de dezembro de 2022, a provisão para perda era de R$ 251.217 (R$ 297.742 em 31 de dezembro de 2021).</w:t>
      </w:r>
    </w:p>
    <w:p>
      <w:pPr>
        <w:pStyle w:val="BodyText"/>
        <w:spacing w:before="240"/>
        <w:ind w:left="151" w:right="356"/>
        <w:jc w:val="both"/>
      </w:pPr>
      <w:r>
        <w:rPr/>
        <w:t>Devido à perspectiva de manutenção das características do seu mercado de atuação e às projeções de resultado negativo,</w:t>
      </w:r>
      <w:r>
        <w:rPr>
          <w:spacing w:val="-9"/>
        </w:rPr>
        <w:t> </w:t>
      </w:r>
      <w:r>
        <w:rPr/>
        <w:t>a</w:t>
      </w:r>
      <w:r>
        <w:rPr>
          <w:spacing w:val="-11"/>
        </w:rPr>
        <w:t> </w:t>
      </w:r>
      <w:r>
        <w:rPr/>
        <w:t>continuidade</w:t>
      </w:r>
      <w:r>
        <w:rPr>
          <w:spacing w:val="-8"/>
        </w:rPr>
        <w:t> </w:t>
      </w:r>
      <w:r>
        <w:rPr/>
        <w:t>operacional</w:t>
      </w:r>
      <w:r>
        <w:rPr>
          <w:spacing w:val="-9"/>
        </w:rPr>
        <w:t> </w:t>
      </w:r>
      <w:r>
        <w:rPr/>
        <w:t>da</w:t>
      </w:r>
      <w:r>
        <w:rPr>
          <w:spacing w:val="-10"/>
        </w:rPr>
        <w:t> </w:t>
      </w:r>
      <w:r>
        <w:rPr/>
        <w:t>ANSA</w:t>
      </w:r>
      <w:r>
        <w:rPr>
          <w:spacing w:val="-9"/>
        </w:rPr>
        <w:t> </w:t>
      </w:r>
      <w:r>
        <w:rPr/>
        <w:t>não</w:t>
      </w:r>
      <w:r>
        <w:rPr>
          <w:spacing w:val="-8"/>
        </w:rPr>
        <w:t> </w:t>
      </w:r>
      <w:r>
        <w:rPr/>
        <w:t>se</w:t>
      </w:r>
      <w:r>
        <w:rPr>
          <w:spacing w:val="-10"/>
        </w:rPr>
        <w:t> </w:t>
      </w:r>
      <w:r>
        <w:rPr/>
        <w:t>mostrava</w:t>
      </w:r>
      <w:r>
        <w:rPr>
          <w:spacing w:val="-12"/>
        </w:rPr>
        <w:t> </w:t>
      </w:r>
      <w:r>
        <w:rPr/>
        <w:t>viável</w:t>
      </w:r>
      <w:r>
        <w:rPr>
          <w:spacing w:val="-10"/>
        </w:rPr>
        <w:t> </w:t>
      </w:r>
      <w:r>
        <w:rPr/>
        <w:t>economicamente,</w:t>
      </w:r>
      <w:r>
        <w:rPr>
          <w:spacing w:val="-10"/>
        </w:rPr>
        <w:t> </w:t>
      </w:r>
      <w:r>
        <w:rPr/>
        <w:t>e</w:t>
      </w:r>
      <w:r>
        <w:rPr>
          <w:spacing w:val="-7"/>
        </w:rPr>
        <w:t> </w:t>
      </w:r>
      <w:r>
        <w:rPr/>
        <w:t>por</w:t>
      </w:r>
      <w:r>
        <w:rPr>
          <w:spacing w:val="-11"/>
        </w:rPr>
        <w:t> </w:t>
      </w:r>
      <w:r>
        <w:rPr/>
        <w:t>esta</w:t>
      </w:r>
      <w:r>
        <w:rPr>
          <w:spacing w:val="-11"/>
        </w:rPr>
        <w:t> </w:t>
      </w:r>
      <w:r>
        <w:rPr/>
        <w:t>razão</w:t>
      </w:r>
      <w:r>
        <w:rPr>
          <w:spacing w:val="-6"/>
        </w:rPr>
        <w:t> </w:t>
      </w:r>
      <w:r>
        <w:rPr/>
        <w:t>a</w:t>
      </w:r>
      <w:r>
        <w:rPr>
          <w:spacing w:val="-12"/>
        </w:rPr>
        <w:t> </w:t>
      </w:r>
      <w:r>
        <w:rPr/>
        <w:t>Petróleo Brasileiro</w:t>
      </w:r>
      <w:r>
        <w:rPr>
          <w:spacing w:val="-13"/>
        </w:rPr>
        <w:t> </w:t>
      </w:r>
      <w:r>
        <w:rPr/>
        <w:t>S.A.</w:t>
      </w:r>
      <w:r>
        <w:rPr>
          <w:spacing w:val="-12"/>
        </w:rPr>
        <w:t> </w:t>
      </w:r>
      <w:r>
        <w:rPr/>
        <w:t>–</w:t>
      </w:r>
      <w:r>
        <w:rPr>
          <w:spacing w:val="-13"/>
        </w:rPr>
        <w:t> </w:t>
      </w:r>
      <w:r>
        <w:rPr/>
        <w:t>Petrobras,</w:t>
      </w:r>
      <w:r>
        <w:rPr>
          <w:spacing w:val="-12"/>
        </w:rPr>
        <w:t> </w:t>
      </w:r>
      <w:r>
        <w:rPr/>
        <w:t>acionista</w:t>
      </w:r>
      <w:r>
        <w:rPr>
          <w:spacing w:val="-13"/>
        </w:rPr>
        <w:t> </w:t>
      </w:r>
      <w:r>
        <w:rPr/>
        <w:t>controladora,</w:t>
      </w:r>
      <w:r>
        <w:rPr>
          <w:spacing w:val="-12"/>
        </w:rPr>
        <w:t> </w:t>
      </w:r>
      <w:r>
        <w:rPr/>
        <w:t>em</w:t>
      </w:r>
      <w:r>
        <w:rPr>
          <w:spacing w:val="-13"/>
        </w:rPr>
        <w:t> </w:t>
      </w:r>
      <w:r>
        <w:rPr/>
        <w:t>13</w:t>
      </w:r>
      <w:r>
        <w:rPr>
          <w:spacing w:val="-11"/>
        </w:rPr>
        <w:t> </w:t>
      </w:r>
      <w:r>
        <w:rPr/>
        <w:t>de</w:t>
      </w:r>
      <w:r>
        <w:rPr>
          <w:spacing w:val="-9"/>
        </w:rPr>
        <w:t> </w:t>
      </w:r>
      <w:r>
        <w:rPr/>
        <w:t>janeiro</w:t>
      </w:r>
      <w:r>
        <w:rPr>
          <w:spacing w:val="-11"/>
        </w:rPr>
        <w:t> </w:t>
      </w:r>
      <w:r>
        <w:rPr/>
        <w:t>de</w:t>
      </w:r>
      <w:r>
        <w:rPr>
          <w:spacing w:val="-12"/>
        </w:rPr>
        <w:t> </w:t>
      </w:r>
      <w:r>
        <w:rPr/>
        <w:t>2020,</w:t>
      </w:r>
      <w:r>
        <w:rPr>
          <w:spacing w:val="-13"/>
        </w:rPr>
        <w:t> </w:t>
      </w:r>
      <w:r>
        <w:rPr/>
        <w:t>aprovou</w:t>
      </w:r>
      <w:r>
        <w:rPr>
          <w:spacing w:val="-12"/>
        </w:rPr>
        <w:t> </w:t>
      </w:r>
      <w:r>
        <w:rPr/>
        <w:t>que</w:t>
      </w:r>
      <w:r>
        <w:rPr>
          <w:spacing w:val="-10"/>
        </w:rPr>
        <w:t> </w:t>
      </w:r>
      <w:r>
        <w:rPr/>
        <w:t>a</w:t>
      </w:r>
      <w:r>
        <w:rPr>
          <w:spacing w:val="-12"/>
        </w:rPr>
        <w:t> </w:t>
      </w:r>
      <w:r>
        <w:rPr/>
        <w:t>Araucária</w:t>
      </w:r>
      <w:r>
        <w:rPr>
          <w:spacing w:val="-12"/>
        </w:rPr>
        <w:t> </w:t>
      </w:r>
      <w:r>
        <w:rPr/>
        <w:t>Nitrogenados executasse</w:t>
      </w:r>
      <w:r>
        <w:rPr>
          <w:spacing w:val="-8"/>
        </w:rPr>
        <w:t> </w:t>
      </w:r>
      <w:r>
        <w:rPr/>
        <w:t>o</w:t>
      </w:r>
      <w:r>
        <w:rPr>
          <w:spacing w:val="-5"/>
        </w:rPr>
        <w:t> </w:t>
      </w:r>
      <w:r>
        <w:rPr/>
        <w:t>Plano</w:t>
      </w:r>
      <w:r>
        <w:rPr>
          <w:spacing w:val="-3"/>
        </w:rPr>
        <w:t> </w:t>
      </w:r>
      <w:r>
        <w:rPr/>
        <w:t>de</w:t>
      </w:r>
      <w:r>
        <w:rPr>
          <w:spacing w:val="-5"/>
        </w:rPr>
        <w:t> </w:t>
      </w:r>
      <w:r>
        <w:rPr/>
        <w:t>Hibernação</w:t>
      </w:r>
      <w:r>
        <w:rPr>
          <w:spacing w:val="-3"/>
        </w:rPr>
        <w:t> </w:t>
      </w:r>
      <w:r>
        <w:rPr/>
        <w:t>com</w:t>
      </w:r>
      <w:r>
        <w:rPr>
          <w:spacing w:val="-2"/>
        </w:rPr>
        <w:t> </w:t>
      </w:r>
      <w:r>
        <w:rPr/>
        <w:t>desligamento</w:t>
      </w:r>
      <w:r>
        <w:rPr>
          <w:spacing w:val="-2"/>
        </w:rPr>
        <w:t> </w:t>
      </w:r>
      <w:r>
        <w:rPr/>
        <w:t>de</w:t>
      </w:r>
      <w:r>
        <w:rPr>
          <w:spacing w:val="-5"/>
        </w:rPr>
        <w:t> </w:t>
      </w:r>
      <w:r>
        <w:rPr/>
        <w:t>todos</w:t>
      </w:r>
      <w:r>
        <w:rPr>
          <w:spacing w:val="-7"/>
        </w:rPr>
        <w:t> </w:t>
      </w:r>
      <w:r>
        <w:rPr/>
        <w:t>os</w:t>
      </w:r>
      <w:r>
        <w:rPr>
          <w:spacing w:val="-3"/>
        </w:rPr>
        <w:t> </w:t>
      </w:r>
      <w:r>
        <w:rPr/>
        <w:t>empregados</w:t>
      </w:r>
      <w:r>
        <w:rPr>
          <w:spacing w:val="-4"/>
        </w:rPr>
        <w:t> </w:t>
      </w:r>
      <w:r>
        <w:rPr/>
        <w:t>próprios,</w:t>
      </w:r>
      <w:r>
        <w:rPr>
          <w:spacing w:val="-8"/>
        </w:rPr>
        <w:t> </w:t>
      </w:r>
      <w:r>
        <w:rPr/>
        <w:t>incluindo</w:t>
      </w:r>
      <w:r>
        <w:rPr>
          <w:spacing w:val="-3"/>
        </w:rPr>
        <w:t> </w:t>
      </w:r>
      <w:r>
        <w:rPr/>
        <w:t>o</w:t>
      </w:r>
      <w:r>
        <w:rPr>
          <w:spacing w:val="-2"/>
        </w:rPr>
        <w:t> </w:t>
      </w:r>
      <w:r>
        <w:rPr/>
        <w:t>pagamento</w:t>
      </w:r>
      <w:r>
        <w:rPr>
          <w:spacing w:val="-2"/>
        </w:rPr>
        <w:t> </w:t>
      </w:r>
      <w:r>
        <w:rPr/>
        <w:t>de abono pecuniário adicional às verbas rescisórias legais e a extensão do prazo de benefícios. Atualmente, a Planta encontra‐se hibernada de forma segura, as atividades relacionadas com a hibernação da planta, manutenção, limpeza, segurança e demais atividades administrativas da Unidade estão sendo conduzidas por uma equipe de 6 empregados cedidos pela sua controladora Petrobras, mais um efetivo de aproximadamente 70 colaboradores </w:t>
      </w:r>
      <w:r>
        <w:rPr>
          <w:spacing w:val="-2"/>
        </w:rPr>
        <w:t>terceirizados.</w:t>
      </w:r>
    </w:p>
    <w:p>
      <w:pPr>
        <w:pStyle w:val="BodyText"/>
        <w:spacing w:before="239"/>
        <w:ind w:left="152" w:right="358" w:hanging="1"/>
        <w:jc w:val="both"/>
      </w:pPr>
      <w:r>
        <w:rPr/>
        <w:t>A Companhia mantém contrato de compartilhamento de gastos com a controladora Petróleo Brasileiro S.A. – Petrobras e segue o plano de negócios desta na condução de suas operações. Portanto, estas demonstrações financeiras devem ser lidas neste contexto.</w:t>
      </w:r>
    </w:p>
    <w:p>
      <w:pPr>
        <w:pStyle w:val="ListParagraph"/>
        <w:numPr>
          <w:ilvl w:val="1"/>
          <w:numId w:val="4"/>
        </w:numPr>
        <w:tabs>
          <w:tab w:pos="780" w:val="left" w:leader="none"/>
        </w:tabs>
        <w:spacing w:line="240" w:lineRule="auto" w:before="241" w:after="0"/>
        <w:ind w:left="780" w:right="0" w:hanging="630"/>
        <w:jc w:val="left"/>
        <w:rPr>
          <w:b/>
          <w:sz w:val="24"/>
        </w:rPr>
      </w:pPr>
      <w:r>
        <w:rPr>
          <w:b/>
          <w:sz w:val="24"/>
        </w:rPr>
        <w:t>Planta</w:t>
      </w:r>
      <w:r>
        <w:rPr>
          <w:b/>
          <w:spacing w:val="-5"/>
          <w:sz w:val="24"/>
        </w:rPr>
        <w:t> </w:t>
      </w:r>
      <w:r>
        <w:rPr>
          <w:b/>
          <w:sz w:val="24"/>
        </w:rPr>
        <w:t>hibernada</w:t>
      </w:r>
      <w:r>
        <w:rPr>
          <w:b/>
          <w:spacing w:val="-3"/>
          <w:sz w:val="24"/>
        </w:rPr>
        <w:t> </w:t>
      </w:r>
      <w:r>
        <w:rPr>
          <w:b/>
          <w:sz w:val="24"/>
        </w:rPr>
        <w:t>e</w:t>
      </w:r>
      <w:r>
        <w:rPr>
          <w:b/>
          <w:spacing w:val="-2"/>
          <w:sz w:val="24"/>
        </w:rPr>
        <w:t> </w:t>
      </w:r>
      <w:r>
        <w:rPr>
          <w:b/>
          <w:sz w:val="24"/>
        </w:rPr>
        <w:t>retomada</w:t>
      </w:r>
      <w:r>
        <w:rPr>
          <w:b/>
          <w:spacing w:val="-3"/>
          <w:sz w:val="24"/>
        </w:rPr>
        <w:t> </w:t>
      </w:r>
      <w:r>
        <w:rPr>
          <w:b/>
          <w:sz w:val="24"/>
        </w:rPr>
        <w:t>do</w:t>
      </w:r>
      <w:r>
        <w:rPr>
          <w:b/>
          <w:spacing w:val="-2"/>
          <w:sz w:val="24"/>
        </w:rPr>
        <w:t> </w:t>
      </w:r>
      <w:r>
        <w:rPr>
          <w:b/>
          <w:sz w:val="24"/>
        </w:rPr>
        <w:t>processo</w:t>
      </w:r>
      <w:r>
        <w:rPr>
          <w:b/>
          <w:spacing w:val="-3"/>
          <w:sz w:val="24"/>
        </w:rPr>
        <w:t> </w:t>
      </w:r>
      <w:r>
        <w:rPr>
          <w:b/>
          <w:sz w:val="24"/>
        </w:rPr>
        <w:t>de</w:t>
      </w:r>
      <w:r>
        <w:rPr>
          <w:b/>
          <w:spacing w:val="-8"/>
          <w:sz w:val="24"/>
        </w:rPr>
        <w:t> </w:t>
      </w:r>
      <w:r>
        <w:rPr>
          <w:b/>
          <w:spacing w:val="-2"/>
          <w:sz w:val="24"/>
        </w:rPr>
        <w:t>desinvestimento</w:t>
      </w:r>
    </w:p>
    <w:p>
      <w:pPr>
        <w:pStyle w:val="BodyText"/>
        <w:spacing w:before="241"/>
        <w:ind w:left="152" w:right="353" w:hanging="1"/>
        <w:jc w:val="both"/>
      </w:pPr>
      <w:r>
        <w:rPr/>
        <w:t>Na situação de hibernada, a Companhia concluiu algumas ações de otimização de recursos que vinham sendo implantadas</w:t>
      </w:r>
      <w:r>
        <w:rPr>
          <w:spacing w:val="-5"/>
        </w:rPr>
        <w:t> </w:t>
      </w:r>
      <w:r>
        <w:rPr/>
        <w:t>com</w:t>
      </w:r>
      <w:r>
        <w:rPr>
          <w:spacing w:val="-3"/>
        </w:rPr>
        <w:t> </w:t>
      </w:r>
      <w:r>
        <w:rPr/>
        <w:t>a</w:t>
      </w:r>
      <w:r>
        <w:rPr>
          <w:spacing w:val="-3"/>
        </w:rPr>
        <w:t> </w:t>
      </w:r>
      <w:r>
        <w:rPr/>
        <w:t>finalidade</w:t>
      </w:r>
      <w:r>
        <w:rPr>
          <w:spacing w:val="-5"/>
        </w:rPr>
        <w:t> </w:t>
      </w:r>
      <w:r>
        <w:rPr/>
        <w:t>de</w:t>
      </w:r>
      <w:r>
        <w:rPr>
          <w:spacing w:val="-6"/>
        </w:rPr>
        <w:t> </w:t>
      </w:r>
      <w:r>
        <w:rPr/>
        <w:t>minimizar</w:t>
      </w:r>
      <w:r>
        <w:rPr>
          <w:spacing w:val="-6"/>
        </w:rPr>
        <w:t> </w:t>
      </w:r>
      <w:r>
        <w:rPr/>
        <w:t>o</w:t>
      </w:r>
      <w:r>
        <w:rPr>
          <w:spacing w:val="-2"/>
        </w:rPr>
        <w:t> </w:t>
      </w:r>
      <w:r>
        <w:rPr/>
        <w:t>custo</w:t>
      </w:r>
      <w:r>
        <w:rPr>
          <w:spacing w:val="-3"/>
        </w:rPr>
        <w:t> </w:t>
      </w:r>
      <w:r>
        <w:rPr/>
        <w:t>financeiro</w:t>
      </w:r>
      <w:r>
        <w:rPr>
          <w:spacing w:val="-1"/>
        </w:rPr>
        <w:t> </w:t>
      </w:r>
      <w:r>
        <w:rPr/>
        <w:t>de</w:t>
      </w:r>
      <w:r>
        <w:rPr>
          <w:spacing w:val="-3"/>
        </w:rPr>
        <w:t> </w:t>
      </w:r>
      <w:r>
        <w:rPr/>
        <w:t>sua</w:t>
      </w:r>
      <w:r>
        <w:rPr>
          <w:spacing w:val="-5"/>
        </w:rPr>
        <w:t> </w:t>
      </w:r>
      <w:r>
        <w:rPr/>
        <w:t>planta</w:t>
      </w:r>
      <w:r>
        <w:rPr>
          <w:spacing w:val="-2"/>
        </w:rPr>
        <w:t> </w:t>
      </w:r>
      <w:r>
        <w:rPr/>
        <w:t>hibernada,</w:t>
      </w:r>
      <w:r>
        <w:rPr>
          <w:spacing w:val="-5"/>
        </w:rPr>
        <w:t> </w:t>
      </w:r>
      <w:r>
        <w:rPr/>
        <w:t>como</w:t>
      </w:r>
      <w:r>
        <w:rPr>
          <w:spacing w:val="-4"/>
        </w:rPr>
        <w:t> </w:t>
      </w:r>
      <w:r>
        <w:rPr/>
        <w:t>leilões</w:t>
      </w:r>
      <w:r>
        <w:rPr>
          <w:spacing w:val="-3"/>
        </w:rPr>
        <w:t> </w:t>
      </w:r>
      <w:r>
        <w:rPr/>
        <w:t>de</w:t>
      </w:r>
      <w:r>
        <w:rPr>
          <w:spacing w:val="-6"/>
        </w:rPr>
        <w:t> </w:t>
      </w:r>
      <w:r>
        <w:rPr/>
        <w:t>sucatas,</w:t>
      </w:r>
      <w:r>
        <w:rPr>
          <w:spacing w:val="-4"/>
        </w:rPr>
        <w:t> </w:t>
      </w:r>
      <w:r>
        <w:rPr/>
        <w:t>de embalagens</w:t>
      </w:r>
      <w:r>
        <w:rPr>
          <w:spacing w:val="-6"/>
        </w:rPr>
        <w:t> </w:t>
      </w:r>
      <w:r>
        <w:rPr/>
        <w:t>e</w:t>
      </w:r>
      <w:r>
        <w:rPr>
          <w:spacing w:val="-5"/>
        </w:rPr>
        <w:t> </w:t>
      </w:r>
      <w:r>
        <w:rPr/>
        <w:t>de</w:t>
      </w:r>
      <w:r>
        <w:rPr>
          <w:spacing w:val="-4"/>
        </w:rPr>
        <w:t> </w:t>
      </w:r>
      <w:r>
        <w:rPr/>
        <w:t>produtos</w:t>
      </w:r>
      <w:r>
        <w:rPr>
          <w:spacing w:val="-6"/>
        </w:rPr>
        <w:t> </w:t>
      </w:r>
      <w:r>
        <w:rPr/>
        <w:t>intermediários,</w:t>
      </w:r>
      <w:r>
        <w:rPr>
          <w:spacing w:val="-8"/>
        </w:rPr>
        <w:t> </w:t>
      </w:r>
      <w:r>
        <w:rPr/>
        <w:t>cancelamento</w:t>
      </w:r>
      <w:r>
        <w:rPr>
          <w:spacing w:val="-3"/>
        </w:rPr>
        <w:t> </w:t>
      </w:r>
      <w:r>
        <w:rPr/>
        <w:t>de</w:t>
      </w:r>
      <w:r>
        <w:rPr>
          <w:spacing w:val="-3"/>
        </w:rPr>
        <w:t> </w:t>
      </w:r>
      <w:r>
        <w:rPr/>
        <w:t>pedidos</w:t>
      </w:r>
      <w:r>
        <w:rPr>
          <w:spacing w:val="-4"/>
        </w:rPr>
        <w:t> </w:t>
      </w:r>
      <w:r>
        <w:rPr/>
        <w:t>de</w:t>
      </w:r>
      <w:r>
        <w:rPr>
          <w:spacing w:val="-4"/>
        </w:rPr>
        <w:t> </w:t>
      </w:r>
      <w:r>
        <w:rPr/>
        <w:t>compra,</w:t>
      </w:r>
      <w:r>
        <w:rPr>
          <w:spacing w:val="-6"/>
        </w:rPr>
        <w:t> </w:t>
      </w:r>
      <w:r>
        <w:rPr/>
        <w:t>distratos</w:t>
      </w:r>
      <w:r>
        <w:rPr>
          <w:spacing w:val="-6"/>
        </w:rPr>
        <w:t> </w:t>
      </w:r>
      <w:r>
        <w:rPr/>
        <w:t>e</w:t>
      </w:r>
      <w:r>
        <w:rPr>
          <w:spacing w:val="-4"/>
        </w:rPr>
        <w:t> </w:t>
      </w:r>
      <w:r>
        <w:rPr/>
        <w:t>redução</w:t>
      </w:r>
      <w:r>
        <w:rPr>
          <w:spacing w:val="-4"/>
        </w:rPr>
        <w:t> </w:t>
      </w:r>
      <w:r>
        <w:rPr/>
        <w:t>dos</w:t>
      </w:r>
      <w:r>
        <w:rPr>
          <w:spacing w:val="-5"/>
        </w:rPr>
        <w:t> </w:t>
      </w:r>
      <w:r>
        <w:rPr/>
        <w:t>contratos de serviços.</w:t>
      </w:r>
    </w:p>
    <w:p>
      <w:pPr>
        <w:pStyle w:val="BodyText"/>
        <w:spacing w:before="240"/>
        <w:ind w:left="151" w:right="356"/>
        <w:jc w:val="both"/>
      </w:pPr>
      <w:r>
        <w:rPr/>
        <w:t>O</w:t>
      </w:r>
      <w:r>
        <w:rPr>
          <w:spacing w:val="-2"/>
        </w:rPr>
        <w:t> </w:t>
      </w:r>
      <w:r>
        <w:rPr/>
        <w:t>Conselho da</w:t>
      </w:r>
      <w:r>
        <w:rPr>
          <w:spacing w:val="-1"/>
        </w:rPr>
        <w:t> </w:t>
      </w:r>
      <w:r>
        <w:rPr/>
        <w:t>Administração da</w:t>
      </w:r>
      <w:r>
        <w:rPr>
          <w:spacing w:val="-1"/>
        </w:rPr>
        <w:t> </w:t>
      </w:r>
      <w:r>
        <w:rPr/>
        <w:t>Petrobras</w:t>
      </w:r>
      <w:r>
        <w:rPr>
          <w:spacing w:val="-1"/>
        </w:rPr>
        <w:t> </w:t>
      </w:r>
      <w:r>
        <w:rPr/>
        <w:t>autorizou,</w:t>
      </w:r>
      <w:r>
        <w:rPr>
          <w:spacing w:val="-1"/>
        </w:rPr>
        <w:t> </w:t>
      </w:r>
      <w:r>
        <w:rPr/>
        <w:t>em</w:t>
      </w:r>
      <w:r>
        <w:rPr>
          <w:spacing w:val="-2"/>
        </w:rPr>
        <w:t> </w:t>
      </w:r>
      <w:r>
        <w:rPr/>
        <w:t>reunião de</w:t>
      </w:r>
      <w:r>
        <w:rPr>
          <w:spacing w:val="-2"/>
        </w:rPr>
        <w:t> </w:t>
      </w:r>
      <w:r>
        <w:rPr/>
        <w:t>29 de</w:t>
      </w:r>
      <w:r>
        <w:rPr>
          <w:spacing w:val="-1"/>
        </w:rPr>
        <w:t> </w:t>
      </w:r>
      <w:r>
        <w:rPr/>
        <w:t>janeiro</w:t>
      </w:r>
      <w:r>
        <w:rPr>
          <w:spacing w:val="-2"/>
        </w:rPr>
        <w:t> </w:t>
      </w:r>
      <w:r>
        <w:rPr/>
        <w:t>de</w:t>
      </w:r>
      <w:r>
        <w:rPr>
          <w:spacing w:val="-2"/>
        </w:rPr>
        <w:t> </w:t>
      </w:r>
      <w:r>
        <w:rPr/>
        <w:t>2020,</w:t>
      </w:r>
      <w:r>
        <w:rPr>
          <w:spacing w:val="-1"/>
        </w:rPr>
        <w:t> </w:t>
      </w:r>
      <w:r>
        <w:rPr/>
        <w:t>o aporte</w:t>
      </w:r>
      <w:r>
        <w:rPr>
          <w:spacing w:val="-2"/>
        </w:rPr>
        <w:t> </w:t>
      </w:r>
      <w:r>
        <w:rPr/>
        <w:t>de</w:t>
      </w:r>
      <w:r>
        <w:rPr>
          <w:spacing w:val="-1"/>
        </w:rPr>
        <w:t> </w:t>
      </w:r>
      <w:r>
        <w:rPr/>
        <w:t>capital na Companhia</w:t>
      </w:r>
      <w:r>
        <w:rPr>
          <w:spacing w:val="-5"/>
        </w:rPr>
        <w:t> </w:t>
      </w:r>
      <w:r>
        <w:rPr/>
        <w:t>no</w:t>
      </w:r>
      <w:r>
        <w:rPr>
          <w:spacing w:val="-4"/>
        </w:rPr>
        <w:t> </w:t>
      </w:r>
      <w:r>
        <w:rPr/>
        <w:t>montante</w:t>
      </w:r>
      <w:r>
        <w:rPr>
          <w:spacing w:val="-2"/>
        </w:rPr>
        <w:t> </w:t>
      </w:r>
      <w:r>
        <w:rPr/>
        <w:t>de</w:t>
      </w:r>
      <w:r>
        <w:rPr>
          <w:spacing w:val="-4"/>
        </w:rPr>
        <w:t> </w:t>
      </w:r>
      <w:r>
        <w:rPr/>
        <w:t>até</w:t>
      </w:r>
      <w:r>
        <w:rPr>
          <w:spacing w:val="-3"/>
        </w:rPr>
        <w:t> </w:t>
      </w:r>
      <w:r>
        <w:rPr/>
        <w:t>R$</w:t>
      </w:r>
      <w:r>
        <w:rPr>
          <w:spacing w:val="-5"/>
        </w:rPr>
        <w:t> </w:t>
      </w:r>
      <w:r>
        <w:rPr/>
        <w:t>859.000.</w:t>
      </w:r>
      <w:r>
        <w:rPr>
          <w:spacing w:val="-5"/>
        </w:rPr>
        <w:t> </w:t>
      </w:r>
      <w:r>
        <w:rPr/>
        <w:t>Desse</w:t>
      </w:r>
      <w:r>
        <w:rPr>
          <w:spacing w:val="-5"/>
        </w:rPr>
        <w:t> </w:t>
      </w:r>
      <w:r>
        <w:rPr/>
        <w:t>aporte</w:t>
      </w:r>
      <w:r>
        <w:rPr>
          <w:spacing w:val="-6"/>
        </w:rPr>
        <w:t> </w:t>
      </w:r>
      <w:r>
        <w:rPr/>
        <w:t>autorizado,</w:t>
      </w:r>
      <w:r>
        <w:rPr>
          <w:spacing w:val="-7"/>
        </w:rPr>
        <w:t> </w:t>
      </w:r>
      <w:r>
        <w:rPr/>
        <w:t>até</w:t>
      </w:r>
      <w:r>
        <w:rPr>
          <w:spacing w:val="-6"/>
        </w:rPr>
        <w:t> </w:t>
      </w:r>
      <w:r>
        <w:rPr/>
        <w:t>31</w:t>
      </w:r>
      <w:r>
        <w:rPr>
          <w:spacing w:val="-6"/>
        </w:rPr>
        <w:t> </w:t>
      </w:r>
      <w:r>
        <w:rPr/>
        <w:t>de</w:t>
      </w:r>
      <w:r>
        <w:rPr>
          <w:spacing w:val="-6"/>
        </w:rPr>
        <w:t> </w:t>
      </w:r>
      <w:r>
        <w:rPr/>
        <w:t>dezembro</w:t>
      </w:r>
      <w:r>
        <w:rPr>
          <w:spacing w:val="-1"/>
        </w:rPr>
        <w:t> </w:t>
      </w:r>
      <w:r>
        <w:rPr/>
        <w:t>de</w:t>
      </w:r>
      <w:r>
        <w:rPr>
          <w:spacing w:val="-7"/>
        </w:rPr>
        <w:t> </w:t>
      </w:r>
      <w:r>
        <w:rPr/>
        <w:t>2022,</w:t>
      </w:r>
      <w:r>
        <w:rPr>
          <w:spacing w:val="-7"/>
        </w:rPr>
        <w:t> </w:t>
      </w:r>
      <w:r>
        <w:rPr/>
        <w:t>foi</w:t>
      </w:r>
      <w:r>
        <w:rPr>
          <w:spacing w:val="-6"/>
        </w:rPr>
        <w:t> </w:t>
      </w:r>
      <w:r>
        <w:rPr/>
        <w:t>efetivado</w:t>
      </w:r>
      <w:r>
        <w:rPr>
          <w:spacing w:val="-4"/>
        </w:rPr>
        <w:t> </w:t>
      </w:r>
      <w:r>
        <w:rPr/>
        <w:t>o aporte de R$670.000 com o objetivo equilibrar a necessidade de caixa operacional da</w:t>
      </w:r>
      <w:r>
        <w:rPr>
          <w:spacing w:val="-6"/>
        </w:rPr>
        <w:t> </w:t>
      </w:r>
      <w:r>
        <w:rPr/>
        <w:t>Companhia.</w:t>
      </w:r>
    </w:p>
    <w:p>
      <w:pPr>
        <w:pStyle w:val="BodyText"/>
        <w:spacing w:before="238"/>
        <w:ind w:left="152" w:right="359" w:hanging="1"/>
        <w:jc w:val="both"/>
      </w:pPr>
      <w:r>
        <w:rPr/>
        <w:t>Em</w:t>
      </w:r>
      <w:r>
        <w:rPr>
          <w:spacing w:val="-12"/>
        </w:rPr>
        <w:t> </w:t>
      </w:r>
      <w:r>
        <w:rPr/>
        <w:t>face</w:t>
      </w:r>
      <w:r>
        <w:rPr>
          <w:spacing w:val="-9"/>
        </w:rPr>
        <w:t> </w:t>
      </w:r>
      <w:r>
        <w:rPr/>
        <w:t>do</w:t>
      </w:r>
      <w:r>
        <w:rPr>
          <w:spacing w:val="-10"/>
        </w:rPr>
        <w:t> </w:t>
      </w:r>
      <w:r>
        <w:rPr/>
        <w:t>recebimento</w:t>
      </w:r>
      <w:r>
        <w:rPr>
          <w:spacing w:val="-9"/>
        </w:rPr>
        <w:t> </w:t>
      </w:r>
      <w:r>
        <w:rPr/>
        <w:t>de</w:t>
      </w:r>
      <w:r>
        <w:rPr>
          <w:spacing w:val="-13"/>
        </w:rPr>
        <w:t> </w:t>
      </w:r>
      <w:r>
        <w:rPr/>
        <w:t>créditos</w:t>
      </w:r>
      <w:r>
        <w:rPr>
          <w:spacing w:val="-10"/>
        </w:rPr>
        <w:t> </w:t>
      </w:r>
      <w:r>
        <w:rPr/>
        <w:t>fiscais</w:t>
      </w:r>
      <w:r>
        <w:rPr>
          <w:spacing w:val="-13"/>
        </w:rPr>
        <w:t> </w:t>
      </w:r>
      <w:r>
        <w:rPr/>
        <w:t>em</w:t>
      </w:r>
      <w:r>
        <w:rPr>
          <w:spacing w:val="-11"/>
        </w:rPr>
        <w:t> </w:t>
      </w:r>
      <w:r>
        <w:rPr/>
        <w:t>2022,</w:t>
      </w:r>
      <w:r>
        <w:rPr>
          <w:spacing w:val="-9"/>
        </w:rPr>
        <w:t> </w:t>
      </w:r>
      <w:r>
        <w:rPr/>
        <w:t>no</w:t>
      </w:r>
      <w:r>
        <w:rPr>
          <w:spacing w:val="-10"/>
        </w:rPr>
        <w:t> </w:t>
      </w:r>
      <w:r>
        <w:rPr/>
        <w:t>montante</w:t>
      </w:r>
      <w:r>
        <w:rPr>
          <w:spacing w:val="-13"/>
        </w:rPr>
        <w:t> </w:t>
      </w:r>
      <w:r>
        <w:rPr/>
        <w:t>de</w:t>
      </w:r>
      <w:r>
        <w:rPr>
          <w:spacing w:val="-9"/>
        </w:rPr>
        <w:t> </w:t>
      </w:r>
      <w:r>
        <w:rPr/>
        <w:t>R$</w:t>
      </w:r>
      <w:r>
        <w:rPr>
          <w:spacing w:val="-10"/>
        </w:rPr>
        <w:t> </w:t>
      </w:r>
      <w:r>
        <w:rPr/>
        <w:t>76.945</w:t>
      </w:r>
      <w:r>
        <w:rPr>
          <w:spacing w:val="-13"/>
        </w:rPr>
        <w:t> </w:t>
      </w:r>
      <w:r>
        <w:rPr/>
        <w:t>(nota</w:t>
      </w:r>
      <w:r>
        <w:rPr>
          <w:spacing w:val="-12"/>
        </w:rPr>
        <w:t> </w:t>
      </w:r>
      <w:r>
        <w:rPr/>
        <w:t>10.1),</w:t>
      </w:r>
      <w:r>
        <w:rPr>
          <w:spacing w:val="-11"/>
        </w:rPr>
        <w:t> </w:t>
      </w:r>
      <w:r>
        <w:rPr/>
        <w:t>a</w:t>
      </w:r>
      <w:r>
        <w:rPr>
          <w:spacing w:val="-10"/>
        </w:rPr>
        <w:t> </w:t>
      </w:r>
      <w:r>
        <w:rPr/>
        <w:t>Companhia</w:t>
      </w:r>
      <w:r>
        <w:rPr>
          <w:spacing w:val="-11"/>
        </w:rPr>
        <w:t> </w:t>
      </w:r>
      <w:r>
        <w:rPr/>
        <w:t>considera a existência de recursos suficientes para garantir a quitação de compromissos assumidos, não sendo necessário novo aporte da controladora em 2023.</w:t>
      </w:r>
    </w:p>
    <w:p>
      <w:pPr>
        <w:pStyle w:val="BodyText"/>
        <w:spacing w:before="242"/>
        <w:ind w:left="151" w:right="355"/>
        <w:jc w:val="both"/>
      </w:pPr>
      <w:r>
        <w:rPr/>
        <w:t>Em 17 de setembro de 2020, a sua controladora Petróleo Brasileiro S.A. ‐ Petrobras divulgou ao mercado teaser para a alienação da totalidade de sua participação acionária na ANSA.</w:t>
      </w:r>
    </w:p>
    <w:p>
      <w:pPr>
        <w:pStyle w:val="BodyText"/>
        <w:spacing w:before="241"/>
        <w:ind w:left="151" w:right="358"/>
        <w:jc w:val="both"/>
      </w:pPr>
      <w:r>
        <w:rPr/>
        <w:t>Em</w:t>
      </w:r>
      <w:r>
        <w:rPr>
          <w:spacing w:val="-8"/>
        </w:rPr>
        <w:t> </w:t>
      </w:r>
      <w:r>
        <w:rPr/>
        <w:t>19</w:t>
      </w:r>
      <w:r>
        <w:rPr>
          <w:spacing w:val="-6"/>
        </w:rPr>
        <w:t> </w:t>
      </w:r>
      <w:r>
        <w:rPr/>
        <w:t>de</w:t>
      </w:r>
      <w:r>
        <w:rPr>
          <w:spacing w:val="-4"/>
        </w:rPr>
        <w:t> </w:t>
      </w:r>
      <w:r>
        <w:rPr/>
        <w:t>dezembro</w:t>
      </w:r>
      <w:r>
        <w:rPr>
          <w:spacing w:val="-5"/>
        </w:rPr>
        <w:t> </w:t>
      </w:r>
      <w:r>
        <w:rPr/>
        <w:t>de</w:t>
      </w:r>
      <w:r>
        <w:rPr>
          <w:spacing w:val="-8"/>
        </w:rPr>
        <w:t> </w:t>
      </w:r>
      <w:r>
        <w:rPr/>
        <w:t>2022</w:t>
      </w:r>
      <w:r>
        <w:rPr>
          <w:spacing w:val="-5"/>
        </w:rPr>
        <w:t> </w:t>
      </w:r>
      <w:r>
        <w:rPr/>
        <w:t>a</w:t>
      </w:r>
      <w:r>
        <w:rPr>
          <w:spacing w:val="-10"/>
        </w:rPr>
        <w:t> </w:t>
      </w:r>
      <w:r>
        <w:rPr/>
        <w:t>Petrobras</w:t>
      </w:r>
      <w:r>
        <w:rPr>
          <w:spacing w:val="-7"/>
        </w:rPr>
        <w:t> </w:t>
      </w:r>
      <w:r>
        <w:rPr/>
        <w:t>informou</w:t>
      </w:r>
      <w:r>
        <w:rPr>
          <w:spacing w:val="-7"/>
        </w:rPr>
        <w:t> </w:t>
      </w:r>
      <w:r>
        <w:rPr/>
        <w:t>que</w:t>
      </w:r>
      <w:r>
        <w:rPr>
          <w:spacing w:val="-9"/>
        </w:rPr>
        <w:t> </w:t>
      </w:r>
      <w:r>
        <w:rPr/>
        <w:t>foi</w:t>
      </w:r>
      <w:r>
        <w:rPr>
          <w:spacing w:val="-6"/>
        </w:rPr>
        <w:t> </w:t>
      </w:r>
      <w:r>
        <w:rPr/>
        <w:t>aprovado</w:t>
      </w:r>
      <w:r>
        <w:rPr>
          <w:spacing w:val="-7"/>
        </w:rPr>
        <w:t> </w:t>
      </w:r>
      <w:r>
        <w:rPr/>
        <w:t>o</w:t>
      </w:r>
      <w:r>
        <w:rPr>
          <w:spacing w:val="-5"/>
        </w:rPr>
        <w:t> </w:t>
      </w:r>
      <w:r>
        <w:rPr/>
        <w:t>encerramento</w:t>
      </w:r>
      <w:r>
        <w:rPr>
          <w:spacing w:val="-3"/>
        </w:rPr>
        <w:t> </w:t>
      </w:r>
      <w:r>
        <w:rPr/>
        <w:t>do</w:t>
      </w:r>
      <w:r>
        <w:rPr>
          <w:spacing w:val="-7"/>
        </w:rPr>
        <w:t> </w:t>
      </w:r>
      <w:r>
        <w:rPr/>
        <w:t>processo</w:t>
      </w:r>
      <w:r>
        <w:rPr>
          <w:spacing w:val="-5"/>
        </w:rPr>
        <w:t> </w:t>
      </w:r>
      <w:r>
        <w:rPr/>
        <w:t>competitivo,</w:t>
      </w:r>
      <w:r>
        <w:rPr>
          <w:spacing w:val="-8"/>
        </w:rPr>
        <w:t> </w:t>
      </w:r>
      <w:r>
        <w:rPr/>
        <w:t>que estava na fase vinculante, para venda da totalidade de suas ações.</w:t>
      </w:r>
    </w:p>
    <w:p>
      <w:pPr>
        <w:spacing w:after="0"/>
        <w:jc w:val="both"/>
        <w:sectPr>
          <w:pgSz w:w="11910" w:h="16840"/>
          <w:pgMar w:header="637" w:footer="650" w:top="1160" w:bottom="840" w:left="700" w:right="480"/>
        </w:sectPr>
      </w:pPr>
    </w:p>
    <w:p>
      <w:pPr>
        <w:pStyle w:val="BodyText"/>
        <w:spacing w:before="25"/>
      </w:pPr>
    </w:p>
    <w:p>
      <w:pPr>
        <w:pStyle w:val="BodyText"/>
        <w:spacing w:before="1"/>
        <w:ind w:left="151" w:right="359"/>
        <w:jc w:val="both"/>
      </w:pPr>
      <w:r>
        <w:rPr/>
        <w:t>A</w:t>
      </w:r>
      <w:r>
        <w:rPr>
          <w:spacing w:val="-3"/>
        </w:rPr>
        <w:t> </w:t>
      </w:r>
      <w:r>
        <w:rPr/>
        <w:t>Petrobras</w:t>
      </w:r>
      <w:r>
        <w:rPr>
          <w:spacing w:val="-5"/>
        </w:rPr>
        <w:t> </w:t>
      </w:r>
      <w:r>
        <w:rPr/>
        <w:t>avaliará</w:t>
      </w:r>
      <w:r>
        <w:rPr>
          <w:spacing w:val="-4"/>
        </w:rPr>
        <w:t> </w:t>
      </w:r>
      <w:r>
        <w:rPr/>
        <w:t>seus</w:t>
      </w:r>
      <w:r>
        <w:rPr>
          <w:spacing w:val="-2"/>
        </w:rPr>
        <w:t> </w:t>
      </w:r>
      <w:r>
        <w:rPr/>
        <w:t>próximos</w:t>
      </w:r>
      <w:r>
        <w:rPr>
          <w:spacing w:val="-3"/>
        </w:rPr>
        <w:t> </w:t>
      </w:r>
      <w:r>
        <w:rPr/>
        <w:t>passos</w:t>
      </w:r>
      <w:r>
        <w:rPr>
          <w:spacing w:val="-5"/>
        </w:rPr>
        <w:t> </w:t>
      </w:r>
      <w:r>
        <w:rPr/>
        <w:t>relacionados</w:t>
      </w:r>
      <w:r>
        <w:rPr>
          <w:spacing w:val="-4"/>
        </w:rPr>
        <w:t> </w:t>
      </w:r>
      <w:r>
        <w:rPr/>
        <w:t>ao</w:t>
      </w:r>
      <w:r>
        <w:rPr>
          <w:spacing w:val="-4"/>
        </w:rPr>
        <w:t> </w:t>
      </w:r>
      <w:r>
        <w:rPr/>
        <w:t>desinvestimento</w:t>
      </w:r>
      <w:r>
        <w:rPr>
          <w:spacing w:val="-3"/>
        </w:rPr>
        <w:t> </w:t>
      </w:r>
      <w:r>
        <w:rPr/>
        <w:t>do ativo</w:t>
      </w:r>
      <w:r>
        <w:rPr>
          <w:spacing w:val="-3"/>
        </w:rPr>
        <w:t> </w:t>
      </w:r>
      <w:r>
        <w:rPr/>
        <w:t>em</w:t>
      </w:r>
      <w:r>
        <w:rPr>
          <w:spacing w:val="-2"/>
        </w:rPr>
        <w:t> </w:t>
      </w:r>
      <w:r>
        <w:rPr/>
        <w:t>questão</w:t>
      </w:r>
      <w:r>
        <w:rPr>
          <w:spacing w:val="-3"/>
        </w:rPr>
        <w:t> </w:t>
      </w:r>
      <w:r>
        <w:rPr/>
        <w:t>reforçando</w:t>
      </w:r>
      <w:r>
        <w:rPr>
          <w:spacing w:val="-3"/>
        </w:rPr>
        <w:t> </w:t>
      </w:r>
      <w:r>
        <w:rPr/>
        <w:t>o</w:t>
      </w:r>
      <w:r>
        <w:rPr>
          <w:spacing w:val="-4"/>
        </w:rPr>
        <w:t> </w:t>
      </w:r>
      <w:r>
        <w:rPr/>
        <w:t>seu compromisso com a ampla transparência de seus projetos de desinvestimento e de gestão de seu</w:t>
      </w:r>
      <w:r>
        <w:rPr>
          <w:spacing w:val="-16"/>
        </w:rPr>
        <w:t> </w:t>
      </w:r>
      <w:r>
        <w:rPr/>
        <w:t>portfólio.</w:t>
      </w:r>
    </w:p>
    <w:p>
      <w:pPr>
        <w:pStyle w:val="BodyText"/>
        <w:spacing w:before="240"/>
        <w:ind w:left="152" w:right="360" w:hanging="1"/>
        <w:jc w:val="both"/>
      </w:pPr>
      <w:r>
        <w:rPr/>
        <w:t>Esta operação está alinhada à otimização de portfólio e à melhora de alocação do capital de sua Controladora, visando a maximização de valor para seus acionistas.</w:t>
      </w:r>
    </w:p>
    <w:p>
      <w:pPr>
        <w:pStyle w:val="BodyText"/>
        <w:spacing w:before="239"/>
        <w:ind w:left="152"/>
        <w:jc w:val="both"/>
      </w:pPr>
      <w:r>
        <w:rPr/>
        <w:t>Próximas</w:t>
      </w:r>
      <w:r>
        <w:rPr>
          <w:spacing w:val="-10"/>
        </w:rPr>
        <w:t> </w:t>
      </w:r>
      <w:r>
        <w:rPr/>
        <w:t>etapas</w:t>
      </w:r>
      <w:r>
        <w:rPr>
          <w:spacing w:val="-9"/>
        </w:rPr>
        <w:t> </w:t>
      </w:r>
      <w:r>
        <w:rPr/>
        <w:t>referentes</w:t>
      </w:r>
      <w:r>
        <w:rPr>
          <w:spacing w:val="-10"/>
        </w:rPr>
        <w:t> </w:t>
      </w:r>
      <w:r>
        <w:rPr/>
        <w:t>ao</w:t>
      </w:r>
      <w:r>
        <w:rPr>
          <w:spacing w:val="-8"/>
        </w:rPr>
        <w:t> </w:t>
      </w:r>
      <w:r>
        <w:rPr/>
        <w:t>desinvestimento</w:t>
      </w:r>
      <w:r>
        <w:rPr>
          <w:spacing w:val="-8"/>
        </w:rPr>
        <w:t> </w:t>
      </w:r>
      <w:r>
        <w:rPr/>
        <w:t>da</w:t>
      </w:r>
      <w:r>
        <w:rPr>
          <w:spacing w:val="-8"/>
        </w:rPr>
        <w:t> </w:t>
      </w:r>
      <w:r>
        <w:rPr/>
        <w:t>ANSA</w:t>
      </w:r>
      <w:r>
        <w:rPr>
          <w:spacing w:val="-9"/>
        </w:rPr>
        <w:t> </w:t>
      </w:r>
      <w:r>
        <w:rPr/>
        <w:t>serão</w:t>
      </w:r>
      <w:r>
        <w:rPr>
          <w:spacing w:val="-9"/>
        </w:rPr>
        <w:t> </w:t>
      </w:r>
      <w:r>
        <w:rPr/>
        <w:t>divulgadas</w:t>
      </w:r>
      <w:r>
        <w:rPr>
          <w:spacing w:val="-9"/>
        </w:rPr>
        <w:t> </w:t>
      </w:r>
      <w:r>
        <w:rPr/>
        <w:t>oportunamente</w:t>
      </w:r>
      <w:r>
        <w:rPr>
          <w:spacing w:val="-9"/>
        </w:rPr>
        <w:t> </w:t>
      </w:r>
      <w:r>
        <w:rPr/>
        <w:t>ao</w:t>
      </w:r>
      <w:r>
        <w:rPr>
          <w:spacing w:val="-9"/>
        </w:rPr>
        <w:t> </w:t>
      </w:r>
      <w:r>
        <w:rPr/>
        <w:t>público</w:t>
      </w:r>
      <w:r>
        <w:rPr>
          <w:spacing w:val="-9"/>
        </w:rPr>
        <w:t> </w:t>
      </w:r>
      <w:r>
        <w:rPr>
          <w:spacing w:val="-2"/>
        </w:rPr>
        <w:t>externo.</w:t>
      </w:r>
    </w:p>
    <w:p>
      <w:pPr>
        <w:pStyle w:val="BodyText"/>
      </w:pPr>
    </w:p>
    <w:p>
      <w:pPr>
        <w:pStyle w:val="BodyText"/>
        <w:spacing w:before="213"/>
      </w:pPr>
    </w:p>
    <w:p>
      <w:pPr>
        <w:pStyle w:val="Heading3"/>
        <w:numPr>
          <w:ilvl w:val="0"/>
          <w:numId w:val="4"/>
        </w:numPr>
        <w:tabs>
          <w:tab w:pos="718" w:val="left" w:leader="none"/>
        </w:tabs>
        <w:spacing w:line="240" w:lineRule="auto" w:before="0" w:after="0"/>
        <w:ind w:left="718" w:right="0" w:hanging="568"/>
        <w:jc w:val="left"/>
      </w:pPr>
      <w:bookmarkStart w:name="_TOC_250014" w:id="11"/>
      <w:r>
        <w:rPr/>
        <w:t>Base</w:t>
      </w:r>
      <w:r>
        <w:rPr>
          <w:spacing w:val="-7"/>
        </w:rPr>
        <w:t> </w:t>
      </w:r>
      <w:r>
        <w:rPr/>
        <w:t>de</w:t>
      </w:r>
      <w:r>
        <w:rPr>
          <w:spacing w:val="-6"/>
        </w:rPr>
        <w:t> </w:t>
      </w:r>
      <w:r>
        <w:rPr/>
        <w:t>elaboração</w:t>
      </w:r>
      <w:r>
        <w:rPr>
          <w:spacing w:val="-6"/>
        </w:rPr>
        <w:t> </w:t>
      </w:r>
      <w:r>
        <w:rPr/>
        <w:t>e</w:t>
      </w:r>
      <w:r>
        <w:rPr>
          <w:spacing w:val="-7"/>
        </w:rPr>
        <w:t> </w:t>
      </w:r>
      <w:r>
        <w:rPr/>
        <w:t>apresentação</w:t>
      </w:r>
      <w:r>
        <w:rPr>
          <w:spacing w:val="-7"/>
        </w:rPr>
        <w:t> </w:t>
      </w:r>
      <w:r>
        <w:rPr/>
        <w:t>das</w:t>
      </w:r>
      <w:r>
        <w:rPr>
          <w:spacing w:val="-5"/>
        </w:rPr>
        <w:t> </w:t>
      </w:r>
      <w:r>
        <w:rPr/>
        <w:t>demonstrações</w:t>
      </w:r>
      <w:r>
        <w:rPr>
          <w:spacing w:val="-13"/>
        </w:rPr>
        <w:t> </w:t>
      </w:r>
      <w:bookmarkEnd w:id="11"/>
      <w:r>
        <w:rPr>
          <w:spacing w:val="-2"/>
        </w:rPr>
        <w:t>financeiras</w:t>
      </w:r>
    </w:p>
    <w:p>
      <w:pPr>
        <w:pStyle w:val="BodyText"/>
        <w:spacing w:before="239"/>
        <w:ind w:left="151" w:right="355"/>
        <w:jc w:val="both"/>
      </w:pPr>
      <w:r>
        <w:rPr/>
        <w:t>As demonstrações financeiras foram preparadas de acordo com as práticas contábeis adotadas no Brasil, em observância às disposições contidas na Lei das Sociedades por Ações, e incorporam as mudanças introduzidas por intermédio das Leis nº 11.638/07 e 11.941/09, complementadas por pronunciamentos, interpretações e orientações do Comitê de Pronunciamentos Contábeis (CPC), aprovados por resoluções do Conselho Federal de Contabilidade – CFC.</w:t>
      </w:r>
    </w:p>
    <w:p>
      <w:pPr>
        <w:pStyle w:val="BodyText"/>
        <w:spacing w:before="242"/>
        <w:ind w:left="152" w:right="363" w:hanging="1"/>
        <w:jc w:val="both"/>
      </w:pPr>
      <w:r>
        <w:rPr/>
        <w:t>Todas as informações relevantes próprias das demonstrações financeiras, e somente elas, estão sendo evidenciadas, e correspondem àquelas utilizadas pela Administração na sua gestão.</w:t>
      </w:r>
    </w:p>
    <w:p>
      <w:pPr>
        <w:pStyle w:val="BodyText"/>
        <w:spacing w:before="241"/>
        <w:ind w:left="152" w:right="356" w:firstLine="50"/>
        <w:jc w:val="both"/>
      </w:pPr>
      <w:r>
        <w:rPr/>
        <w:t>As demonstrações financeiras foram preparadas utilizando o custo histórico como base de valor, exceto quando de outra forma indicado. As principais práticas contábeis aplicadas na preparação das demonstrações financeiras estão apresentadas nas respectivas notas explicativas.</w:t>
      </w:r>
    </w:p>
    <w:p>
      <w:pPr>
        <w:pStyle w:val="BodyText"/>
        <w:spacing w:before="238"/>
        <w:ind w:left="151" w:right="356"/>
        <w:jc w:val="both"/>
      </w:pPr>
      <w:r>
        <w:rPr/>
        <w:t>Na preparação dessas demonstrações financeiras, a Administração utilizou julgamentos, estimativas e premissas que</w:t>
      </w:r>
      <w:r>
        <w:rPr>
          <w:spacing w:val="-3"/>
        </w:rPr>
        <w:t> </w:t>
      </w:r>
      <w:r>
        <w:rPr/>
        <w:t>afetam</w:t>
      </w:r>
      <w:r>
        <w:rPr>
          <w:spacing w:val="-3"/>
        </w:rPr>
        <w:t> </w:t>
      </w:r>
      <w:r>
        <w:rPr/>
        <w:t>a</w:t>
      </w:r>
      <w:r>
        <w:rPr>
          <w:spacing w:val="-3"/>
        </w:rPr>
        <w:t> </w:t>
      </w:r>
      <w:r>
        <w:rPr/>
        <w:t>aplicação</w:t>
      </w:r>
      <w:r>
        <w:rPr>
          <w:spacing w:val="-4"/>
        </w:rPr>
        <w:t> </w:t>
      </w:r>
      <w:r>
        <w:rPr/>
        <w:t>das</w:t>
      </w:r>
      <w:r>
        <w:rPr>
          <w:spacing w:val="-5"/>
        </w:rPr>
        <w:t> </w:t>
      </w:r>
      <w:r>
        <w:rPr/>
        <w:t>políticas</w:t>
      </w:r>
      <w:r>
        <w:rPr>
          <w:spacing w:val="-5"/>
        </w:rPr>
        <w:t> </w:t>
      </w:r>
      <w:r>
        <w:rPr/>
        <w:t>contábeis</w:t>
      </w:r>
      <w:r>
        <w:rPr>
          <w:spacing w:val="-3"/>
        </w:rPr>
        <w:t> </w:t>
      </w:r>
      <w:r>
        <w:rPr/>
        <w:t>e</w:t>
      </w:r>
      <w:r>
        <w:rPr>
          <w:spacing w:val="-4"/>
        </w:rPr>
        <w:t> </w:t>
      </w:r>
      <w:r>
        <w:rPr/>
        <w:t>os</w:t>
      </w:r>
      <w:r>
        <w:rPr>
          <w:spacing w:val="-6"/>
        </w:rPr>
        <w:t> </w:t>
      </w:r>
      <w:r>
        <w:rPr/>
        <w:t>valores</w:t>
      </w:r>
      <w:r>
        <w:rPr>
          <w:spacing w:val="-2"/>
        </w:rPr>
        <w:t> </w:t>
      </w:r>
      <w:r>
        <w:rPr/>
        <w:t>reportados</w:t>
      </w:r>
      <w:r>
        <w:rPr>
          <w:spacing w:val="-6"/>
        </w:rPr>
        <w:t> </w:t>
      </w:r>
      <w:r>
        <w:rPr/>
        <w:t>dos</w:t>
      </w:r>
      <w:r>
        <w:rPr>
          <w:spacing w:val="-2"/>
        </w:rPr>
        <w:t> </w:t>
      </w:r>
      <w:r>
        <w:rPr/>
        <w:t>ativos,</w:t>
      </w:r>
      <w:r>
        <w:rPr>
          <w:spacing w:val="-7"/>
        </w:rPr>
        <w:t> </w:t>
      </w:r>
      <w:r>
        <w:rPr/>
        <w:t>passivos,</w:t>
      </w:r>
      <w:r>
        <w:rPr>
          <w:spacing w:val="-4"/>
        </w:rPr>
        <w:t> </w:t>
      </w:r>
      <w:r>
        <w:rPr/>
        <w:t>receitas</w:t>
      </w:r>
      <w:r>
        <w:rPr>
          <w:spacing w:val="-3"/>
        </w:rPr>
        <w:t> </w:t>
      </w:r>
      <w:r>
        <w:rPr/>
        <w:t>e</w:t>
      </w:r>
      <w:r>
        <w:rPr>
          <w:spacing w:val="-2"/>
        </w:rPr>
        <w:t> </w:t>
      </w:r>
      <w:r>
        <w:rPr/>
        <w:t>despesas.</w:t>
      </w:r>
      <w:r>
        <w:rPr>
          <w:spacing w:val="-4"/>
        </w:rPr>
        <w:t> </w:t>
      </w:r>
      <w:r>
        <w:rPr/>
        <w:t>Os resultados reais podem divergir dessas estimativas. As estimativas e julgamentos relevantes que requerem maior nível de julgamento e complexidade estão divulgados na nota explicativa</w:t>
      </w:r>
      <w:r>
        <w:rPr>
          <w:spacing w:val="-2"/>
        </w:rPr>
        <w:t> </w:t>
      </w:r>
      <w:r>
        <w:rPr/>
        <w:t>4.</w:t>
      </w:r>
    </w:p>
    <w:p>
      <w:pPr>
        <w:pStyle w:val="BodyText"/>
        <w:spacing w:before="241"/>
        <w:ind w:left="151" w:right="356"/>
        <w:jc w:val="both"/>
      </w:pPr>
      <w:r>
        <w:rPr/>
        <w:t>A Diretoria Executiva da Companhia, em reunião realizada em 1º de março de 2023, autorizou a emissão destas demonstrações financeiras.</w:t>
      </w:r>
    </w:p>
    <w:p>
      <w:pPr>
        <w:pStyle w:val="ListParagraph"/>
        <w:numPr>
          <w:ilvl w:val="1"/>
          <w:numId w:val="4"/>
        </w:numPr>
        <w:tabs>
          <w:tab w:pos="859" w:val="left" w:leader="none"/>
        </w:tabs>
        <w:spacing w:line="240" w:lineRule="auto" w:before="239" w:after="0"/>
        <w:ind w:left="859" w:right="0" w:hanging="709"/>
        <w:jc w:val="left"/>
        <w:rPr>
          <w:b/>
          <w:sz w:val="24"/>
        </w:rPr>
      </w:pPr>
      <w:r>
        <w:rPr>
          <w:b/>
          <w:sz w:val="24"/>
        </w:rPr>
        <w:t>Demonstração</w:t>
      </w:r>
      <w:r>
        <w:rPr>
          <w:b/>
          <w:spacing w:val="-3"/>
          <w:sz w:val="24"/>
        </w:rPr>
        <w:t> </w:t>
      </w:r>
      <w:r>
        <w:rPr>
          <w:b/>
          <w:sz w:val="24"/>
        </w:rPr>
        <w:t>do</w:t>
      </w:r>
      <w:r>
        <w:rPr>
          <w:b/>
          <w:spacing w:val="-1"/>
          <w:sz w:val="24"/>
        </w:rPr>
        <w:t> </w:t>
      </w:r>
      <w:r>
        <w:rPr>
          <w:b/>
          <w:sz w:val="24"/>
        </w:rPr>
        <w:t>valor</w:t>
      </w:r>
      <w:r>
        <w:rPr>
          <w:b/>
          <w:spacing w:val="-7"/>
          <w:sz w:val="24"/>
        </w:rPr>
        <w:t> </w:t>
      </w:r>
      <w:r>
        <w:rPr>
          <w:b/>
          <w:spacing w:val="-2"/>
          <w:sz w:val="24"/>
        </w:rPr>
        <w:t>adicionado</w:t>
      </w:r>
    </w:p>
    <w:p>
      <w:pPr>
        <w:pStyle w:val="BodyText"/>
        <w:spacing w:before="241"/>
        <w:ind w:left="151" w:right="354"/>
        <w:jc w:val="both"/>
      </w:pPr>
      <w:r>
        <w:rPr/>
        <w:t>A demonstração do valor adicionado ‐ DVA apresenta informações relativas à riqueza criada pela Companhia e a forma como tal riqueza foi distribuída. Essa demonstração foi preparada de acordo com o CPC 09 ‐ Demonstração do Valor Adicionado, sendo apresentada como informação adicional.</w:t>
      </w:r>
    </w:p>
    <w:p>
      <w:pPr>
        <w:pStyle w:val="ListParagraph"/>
        <w:numPr>
          <w:ilvl w:val="1"/>
          <w:numId w:val="4"/>
        </w:numPr>
        <w:tabs>
          <w:tab w:pos="718" w:val="left" w:leader="none"/>
        </w:tabs>
        <w:spacing w:line="240" w:lineRule="auto" w:before="241" w:after="0"/>
        <w:ind w:left="718" w:right="0" w:hanging="568"/>
        <w:jc w:val="left"/>
        <w:rPr>
          <w:b/>
          <w:sz w:val="24"/>
        </w:rPr>
      </w:pPr>
      <w:r>
        <w:rPr>
          <w:b/>
          <w:sz w:val="24"/>
        </w:rPr>
        <w:t>Moeda</w:t>
      </w:r>
      <w:r>
        <w:rPr>
          <w:b/>
          <w:spacing w:val="-2"/>
          <w:sz w:val="24"/>
        </w:rPr>
        <w:t> funcional</w:t>
      </w:r>
    </w:p>
    <w:p>
      <w:pPr>
        <w:pStyle w:val="BodyText"/>
        <w:spacing w:before="238"/>
        <w:ind w:left="151" w:right="358"/>
        <w:jc w:val="both"/>
      </w:pPr>
      <w:r>
        <w:rPr/>
        <w:t>A moeda funcional da Companhia é o real, que é a moeda de seu principal ambiente econômico de operação (hibernação). Todos os saldos foram arredondados para o milhar mais próximo, exceto quando indicado de outra </w:t>
      </w:r>
      <w:r>
        <w:rPr>
          <w:spacing w:val="-2"/>
        </w:rPr>
        <w:t>forma.</w:t>
      </w:r>
    </w:p>
    <w:p>
      <w:pPr>
        <w:spacing w:after="0"/>
        <w:jc w:val="both"/>
        <w:sectPr>
          <w:headerReference w:type="default" r:id="rId18"/>
          <w:footerReference w:type="default" r:id="rId19"/>
          <w:pgSz w:w="11910" w:h="16840"/>
          <w:pgMar w:header="637" w:footer="630" w:top="1780" w:bottom="820" w:left="700" w:right="480"/>
        </w:sectPr>
      </w:pPr>
    </w:p>
    <w:p>
      <w:pPr>
        <w:pStyle w:val="BodyText"/>
        <w:spacing w:before="210"/>
        <w:rPr>
          <w:sz w:val="26"/>
        </w:rPr>
      </w:pPr>
    </w:p>
    <w:p>
      <w:pPr>
        <w:pStyle w:val="Heading3"/>
        <w:numPr>
          <w:ilvl w:val="0"/>
          <w:numId w:val="4"/>
        </w:numPr>
        <w:tabs>
          <w:tab w:pos="718" w:val="left" w:leader="none"/>
        </w:tabs>
        <w:spacing w:line="240" w:lineRule="auto" w:before="0" w:after="0"/>
        <w:ind w:left="718" w:right="0" w:hanging="568"/>
        <w:jc w:val="left"/>
      </w:pPr>
      <w:bookmarkStart w:name="_TOC_250013" w:id="12"/>
      <w:r>
        <w:rPr/>
        <w:t>Sumário</w:t>
      </w:r>
      <w:r>
        <w:rPr>
          <w:spacing w:val="-6"/>
        </w:rPr>
        <w:t> </w:t>
      </w:r>
      <w:r>
        <w:rPr/>
        <w:t>das</w:t>
      </w:r>
      <w:r>
        <w:rPr>
          <w:spacing w:val="-4"/>
        </w:rPr>
        <w:t> </w:t>
      </w:r>
      <w:r>
        <w:rPr/>
        <w:t>principais</w:t>
      </w:r>
      <w:r>
        <w:rPr>
          <w:spacing w:val="-5"/>
        </w:rPr>
        <w:t> </w:t>
      </w:r>
      <w:r>
        <w:rPr/>
        <w:t>práticas</w:t>
      </w:r>
      <w:r>
        <w:rPr>
          <w:spacing w:val="-5"/>
        </w:rPr>
        <w:t> </w:t>
      </w:r>
      <w:bookmarkEnd w:id="12"/>
      <w:r>
        <w:rPr>
          <w:spacing w:val="-2"/>
        </w:rPr>
        <w:t>contábeis</w:t>
      </w:r>
    </w:p>
    <w:p>
      <w:pPr>
        <w:pStyle w:val="BodyText"/>
        <w:spacing w:before="239"/>
        <w:ind w:left="152" w:right="357" w:hanging="1"/>
        <w:jc w:val="both"/>
      </w:pPr>
      <w:r>
        <w:rPr/>
        <w:t>As práticas contábeis para a compreensão</w:t>
      </w:r>
      <w:r>
        <w:rPr>
          <w:spacing w:val="-1"/>
        </w:rPr>
        <w:t> </w:t>
      </w:r>
      <w:r>
        <w:rPr/>
        <w:t>da base de</w:t>
      </w:r>
      <w:r>
        <w:rPr>
          <w:spacing w:val="-1"/>
        </w:rPr>
        <w:t> </w:t>
      </w:r>
      <w:r>
        <w:rPr/>
        <w:t>reconhecimento e mensuração aplicadas na preparação das demonstrações financeiras estão descritas abaixo das respectivas notas explicativas e são consistentes com as políticas contábeis adotadas e divulgadas nas demonstrações financeiras dos exercícios anteriores.</w:t>
      </w:r>
    </w:p>
    <w:p>
      <w:pPr>
        <w:pStyle w:val="ListParagraph"/>
        <w:numPr>
          <w:ilvl w:val="1"/>
          <w:numId w:val="4"/>
        </w:numPr>
        <w:tabs>
          <w:tab w:pos="718" w:val="left" w:leader="none"/>
        </w:tabs>
        <w:spacing w:line="240" w:lineRule="auto" w:before="241" w:after="0"/>
        <w:ind w:left="718" w:right="0" w:hanging="568"/>
        <w:jc w:val="left"/>
        <w:rPr>
          <w:b/>
          <w:sz w:val="24"/>
        </w:rPr>
      </w:pPr>
      <w:r>
        <w:rPr>
          <w:b/>
          <w:sz w:val="24"/>
        </w:rPr>
        <w:t>Instrumentos</w:t>
      </w:r>
      <w:r>
        <w:rPr>
          <w:b/>
          <w:spacing w:val="-2"/>
          <w:sz w:val="24"/>
        </w:rPr>
        <w:t> financeiros</w:t>
      </w:r>
    </w:p>
    <w:p>
      <w:pPr>
        <w:pStyle w:val="BodyText"/>
        <w:spacing w:before="240"/>
        <w:ind w:left="152" w:right="360" w:hanging="1"/>
        <w:jc w:val="both"/>
      </w:pPr>
      <w:r>
        <w:rPr/>
        <w:t>Instrumento financeiro é qualquer contrato que dê origem a um ativo financeiro para a entidade e a um passivo financeiro ou instrumento patrimonial para outra entidade.</w:t>
      </w:r>
    </w:p>
    <w:p>
      <w:pPr>
        <w:pStyle w:val="ListParagraph"/>
        <w:numPr>
          <w:ilvl w:val="2"/>
          <w:numId w:val="4"/>
        </w:numPr>
        <w:tabs>
          <w:tab w:pos="877" w:val="left" w:leader="none"/>
        </w:tabs>
        <w:spacing w:line="240" w:lineRule="auto" w:before="239" w:after="0"/>
        <w:ind w:left="877" w:right="0" w:hanging="727"/>
        <w:jc w:val="left"/>
        <w:rPr>
          <w:b/>
          <w:sz w:val="24"/>
        </w:rPr>
      </w:pPr>
      <w:r>
        <w:rPr>
          <w:b/>
          <w:sz w:val="24"/>
        </w:rPr>
        <w:t>Ativos</w:t>
      </w:r>
      <w:r>
        <w:rPr>
          <w:b/>
          <w:spacing w:val="-3"/>
          <w:sz w:val="24"/>
        </w:rPr>
        <w:t> </w:t>
      </w:r>
      <w:r>
        <w:rPr>
          <w:b/>
          <w:spacing w:val="-2"/>
          <w:sz w:val="24"/>
        </w:rPr>
        <w:t>financeiros</w:t>
      </w:r>
    </w:p>
    <w:p>
      <w:pPr>
        <w:pStyle w:val="ListParagraph"/>
        <w:numPr>
          <w:ilvl w:val="0"/>
          <w:numId w:val="5"/>
        </w:numPr>
        <w:tabs>
          <w:tab w:pos="718" w:val="left" w:leader="none"/>
        </w:tabs>
        <w:spacing w:line="240" w:lineRule="auto" w:before="241" w:after="0"/>
        <w:ind w:left="718" w:right="0" w:hanging="568"/>
        <w:jc w:val="left"/>
        <w:rPr>
          <w:b/>
          <w:sz w:val="24"/>
        </w:rPr>
      </w:pPr>
      <w:r>
        <w:rPr>
          <w:b/>
          <w:sz w:val="24"/>
        </w:rPr>
        <w:t>Reconhecimento</w:t>
      </w:r>
      <w:r>
        <w:rPr>
          <w:b/>
          <w:spacing w:val="-1"/>
          <w:sz w:val="24"/>
        </w:rPr>
        <w:t> </w:t>
      </w:r>
      <w:r>
        <w:rPr>
          <w:b/>
          <w:sz w:val="24"/>
        </w:rPr>
        <w:t>e mensuração</w:t>
      </w:r>
      <w:r>
        <w:rPr>
          <w:b/>
          <w:spacing w:val="-2"/>
          <w:sz w:val="24"/>
        </w:rPr>
        <w:t> inicial</w:t>
      </w:r>
    </w:p>
    <w:p>
      <w:pPr>
        <w:pStyle w:val="BodyText"/>
        <w:spacing w:before="240"/>
        <w:ind w:left="152"/>
        <w:jc w:val="both"/>
      </w:pPr>
      <w:r>
        <w:rPr/>
        <w:t>Um</w:t>
      </w:r>
      <w:r>
        <w:rPr>
          <w:spacing w:val="-7"/>
        </w:rPr>
        <w:t> </w:t>
      </w:r>
      <w:r>
        <w:rPr/>
        <w:t>ativo</w:t>
      </w:r>
      <w:r>
        <w:rPr>
          <w:spacing w:val="-7"/>
        </w:rPr>
        <w:t> </w:t>
      </w:r>
      <w:r>
        <w:rPr/>
        <w:t>financeiro</w:t>
      </w:r>
      <w:r>
        <w:rPr>
          <w:spacing w:val="-7"/>
        </w:rPr>
        <w:t> </w:t>
      </w:r>
      <w:r>
        <w:rPr/>
        <w:t>é</w:t>
      </w:r>
      <w:r>
        <w:rPr>
          <w:spacing w:val="-7"/>
        </w:rPr>
        <w:t> </w:t>
      </w:r>
      <w:r>
        <w:rPr/>
        <w:t>reconhecido</w:t>
      </w:r>
      <w:r>
        <w:rPr>
          <w:spacing w:val="-7"/>
        </w:rPr>
        <w:t> </w:t>
      </w:r>
      <w:r>
        <w:rPr/>
        <w:t>quando</w:t>
      </w:r>
      <w:r>
        <w:rPr>
          <w:spacing w:val="-7"/>
        </w:rPr>
        <w:t> </w:t>
      </w:r>
      <w:r>
        <w:rPr/>
        <w:t>a</w:t>
      </w:r>
      <w:r>
        <w:rPr>
          <w:spacing w:val="-7"/>
        </w:rPr>
        <w:t> </w:t>
      </w:r>
      <w:r>
        <w:rPr/>
        <w:t>entidade</w:t>
      </w:r>
      <w:r>
        <w:rPr>
          <w:spacing w:val="-10"/>
        </w:rPr>
        <w:t> </w:t>
      </w:r>
      <w:r>
        <w:rPr/>
        <w:t>se</w:t>
      </w:r>
      <w:r>
        <w:rPr>
          <w:spacing w:val="-8"/>
        </w:rPr>
        <w:t> </w:t>
      </w:r>
      <w:r>
        <w:rPr/>
        <w:t>tornar</w:t>
      </w:r>
      <w:r>
        <w:rPr>
          <w:spacing w:val="-7"/>
        </w:rPr>
        <w:t> </w:t>
      </w:r>
      <w:r>
        <w:rPr/>
        <w:t>parte</w:t>
      </w:r>
      <w:r>
        <w:rPr>
          <w:spacing w:val="-8"/>
        </w:rPr>
        <w:t> </w:t>
      </w:r>
      <w:r>
        <w:rPr/>
        <w:t>das</w:t>
      </w:r>
      <w:r>
        <w:rPr>
          <w:spacing w:val="-7"/>
        </w:rPr>
        <w:t> </w:t>
      </w:r>
      <w:r>
        <w:rPr/>
        <w:t>disposições</w:t>
      </w:r>
      <w:r>
        <w:rPr>
          <w:spacing w:val="-7"/>
        </w:rPr>
        <w:t> </w:t>
      </w:r>
      <w:r>
        <w:rPr/>
        <w:t>contratuais</w:t>
      </w:r>
      <w:r>
        <w:rPr>
          <w:spacing w:val="-8"/>
        </w:rPr>
        <w:t> </w:t>
      </w:r>
      <w:r>
        <w:rPr/>
        <w:t>do</w:t>
      </w:r>
      <w:r>
        <w:rPr>
          <w:spacing w:val="-7"/>
        </w:rPr>
        <w:t> </w:t>
      </w:r>
      <w:r>
        <w:rPr>
          <w:spacing w:val="-2"/>
        </w:rPr>
        <w:t>instrumento.</w:t>
      </w:r>
    </w:p>
    <w:p>
      <w:pPr>
        <w:pStyle w:val="BodyText"/>
        <w:spacing w:before="241"/>
        <w:ind w:left="151" w:right="359"/>
        <w:jc w:val="both"/>
      </w:pPr>
      <w:r>
        <w:rPr/>
        <w:t>Exceto por contas a receber de clientes que não contiverem componente de financiamento significativo e ativos financeiros mensurados ao valor justo, no reconhecimento inicial, ativos financeiros são mensurados a valor justo adicionado ou deduzido dos custos de transação que sejam diretamente atribuíveis à aquisição ou à emissão de tais ativos.</w:t>
      </w:r>
    </w:p>
    <w:p>
      <w:pPr>
        <w:pStyle w:val="ListParagraph"/>
        <w:numPr>
          <w:ilvl w:val="0"/>
          <w:numId w:val="5"/>
        </w:numPr>
        <w:tabs>
          <w:tab w:pos="718" w:val="left" w:leader="none"/>
        </w:tabs>
        <w:spacing w:line="240" w:lineRule="auto" w:before="237" w:after="0"/>
        <w:ind w:left="718" w:right="0" w:hanging="568"/>
        <w:jc w:val="left"/>
        <w:rPr>
          <w:b/>
          <w:sz w:val="24"/>
        </w:rPr>
      </w:pPr>
      <w:r>
        <w:rPr>
          <w:b/>
          <w:sz w:val="24"/>
        </w:rPr>
        <w:t>Classificação</w:t>
      </w:r>
      <w:r>
        <w:rPr>
          <w:b/>
          <w:spacing w:val="-2"/>
          <w:sz w:val="24"/>
        </w:rPr>
        <w:t> </w:t>
      </w:r>
      <w:r>
        <w:rPr>
          <w:b/>
          <w:sz w:val="24"/>
        </w:rPr>
        <w:t>e mensuração</w:t>
      </w:r>
      <w:r>
        <w:rPr>
          <w:b/>
          <w:spacing w:val="-2"/>
          <w:sz w:val="24"/>
        </w:rPr>
        <w:t> subsequente</w:t>
      </w:r>
    </w:p>
    <w:p>
      <w:pPr>
        <w:pStyle w:val="BodyText"/>
        <w:spacing w:before="240"/>
        <w:ind w:left="151" w:right="358"/>
        <w:jc w:val="both"/>
      </w:pPr>
      <w:r>
        <w:rPr/>
        <w:t>Ativos financeiros são geralmente classificados como subsequentemente mensurados ao custo amortizado, ao valor</w:t>
      </w:r>
      <w:r>
        <w:rPr>
          <w:spacing w:val="-3"/>
        </w:rPr>
        <w:t> </w:t>
      </w:r>
      <w:r>
        <w:rPr/>
        <w:t>justo</w:t>
      </w:r>
      <w:r>
        <w:rPr>
          <w:spacing w:val="-2"/>
        </w:rPr>
        <w:t> </w:t>
      </w:r>
      <w:r>
        <w:rPr/>
        <w:t>por</w:t>
      </w:r>
      <w:r>
        <w:rPr>
          <w:spacing w:val="-3"/>
        </w:rPr>
        <w:t> </w:t>
      </w:r>
      <w:r>
        <w:rPr/>
        <w:t>meio de</w:t>
      </w:r>
      <w:r>
        <w:rPr>
          <w:spacing w:val="-6"/>
        </w:rPr>
        <w:t> </w:t>
      </w:r>
      <w:r>
        <w:rPr/>
        <w:t>outros resultados</w:t>
      </w:r>
      <w:r>
        <w:rPr>
          <w:spacing w:val="-2"/>
        </w:rPr>
        <w:t> </w:t>
      </w:r>
      <w:r>
        <w:rPr/>
        <w:t>abrangentes</w:t>
      </w:r>
      <w:r>
        <w:rPr>
          <w:spacing w:val="-4"/>
        </w:rPr>
        <w:t> </w:t>
      </w:r>
      <w:r>
        <w:rPr/>
        <w:t>ou</w:t>
      </w:r>
      <w:r>
        <w:rPr>
          <w:spacing w:val="-5"/>
        </w:rPr>
        <w:t> </w:t>
      </w:r>
      <w:r>
        <w:rPr/>
        <w:t>ao</w:t>
      </w:r>
      <w:r>
        <w:rPr>
          <w:spacing w:val="-3"/>
        </w:rPr>
        <w:t> </w:t>
      </w:r>
      <w:r>
        <w:rPr/>
        <w:t>valor</w:t>
      </w:r>
      <w:r>
        <w:rPr>
          <w:spacing w:val="-2"/>
        </w:rPr>
        <w:t> </w:t>
      </w:r>
      <w:r>
        <w:rPr/>
        <w:t>justo</w:t>
      </w:r>
      <w:r>
        <w:rPr>
          <w:spacing w:val="-2"/>
        </w:rPr>
        <w:t> </w:t>
      </w:r>
      <w:r>
        <w:rPr/>
        <w:t>por</w:t>
      </w:r>
      <w:r>
        <w:rPr>
          <w:spacing w:val="-4"/>
        </w:rPr>
        <w:t> </w:t>
      </w:r>
      <w:r>
        <w:rPr/>
        <w:t>meio do resultado</w:t>
      </w:r>
      <w:r>
        <w:rPr>
          <w:spacing w:val="-3"/>
        </w:rPr>
        <w:t> </w:t>
      </w:r>
      <w:r>
        <w:rPr/>
        <w:t>com base</w:t>
      </w:r>
      <w:r>
        <w:rPr>
          <w:spacing w:val="-1"/>
        </w:rPr>
        <w:t> </w:t>
      </w:r>
      <w:r>
        <w:rPr/>
        <w:t>tanto:</w:t>
      </w:r>
      <w:r>
        <w:rPr>
          <w:spacing w:val="-2"/>
        </w:rPr>
        <w:t> </w:t>
      </w:r>
      <w:r>
        <w:rPr/>
        <w:t>no modelo de negócios da entidade para a gestão dos ativos financeiros; quanto nas características de fluxo de caixa contratual do ativo financeiro, conforme segue:</w:t>
      </w:r>
    </w:p>
    <w:p>
      <w:pPr>
        <w:pStyle w:val="ListParagraph"/>
        <w:numPr>
          <w:ilvl w:val="0"/>
          <w:numId w:val="6"/>
        </w:numPr>
        <w:tabs>
          <w:tab w:pos="433" w:val="left" w:leader="none"/>
          <w:tab w:pos="435" w:val="left" w:leader="none"/>
        </w:tabs>
        <w:spacing w:line="240" w:lineRule="auto" w:before="243" w:after="0"/>
        <w:ind w:left="435" w:right="359" w:hanging="285"/>
        <w:jc w:val="both"/>
        <w:rPr>
          <w:sz w:val="22"/>
        </w:rPr>
      </w:pPr>
      <w:r>
        <w:rPr>
          <w:sz w:val="22"/>
        </w:rPr>
        <w:t>Custo amortizado: ativo financeiro (instrumento financeiro de dívida) cujo fluxo de caixa contratual resulta somente do pagamento de principal e juros sobre o principal em datas específicas e, cujo modelo de negócios objetiva manter o ativo com o fim de receber seus fluxos de caixa</w:t>
      </w:r>
      <w:r>
        <w:rPr>
          <w:spacing w:val="-1"/>
          <w:sz w:val="22"/>
        </w:rPr>
        <w:t> </w:t>
      </w:r>
      <w:r>
        <w:rPr>
          <w:sz w:val="22"/>
        </w:rPr>
        <w:t>contratuais;</w:t>
      </w:r>
    </w:p>
    <w:p>
      <w:pPr>
        <w:pStyle w:val="ListParagraph"/>
        <w:numPr>
          <w:ilvl w:val="0"/>
          <w:numId w:val="6"/>
        </w:numPr>
        <w:tabs>
          <w:tab w:pos="432" w:val="left" w:leader="none"/>
          <w:tab w:pos="434" w:val="left" w:leader="none"/>
        </w:tabs>
        <w:spacing w:line="240" w:lineRule="auto" w:before="238" w:after="0"/>
        <w:ind w:left="434" w:right="361" w:hanging="285"/>
        <w:jc w:val="both"/>
        <w:rPr>
          <w:sz w:val="22"/>
        </w:rPr>
      </w:pPr>
      <w:r>
        <w:rPr>
          <w:sz w:val="22"/>
        </w:rPr>
        <w:t>Valor</w:t>
      </w:r>
      <w:r>
        <w:rPr>
          <w:spacing w:val="-3"/>
          <w:sz w:val="22"/>
        </w:rPr>
        <w:t> </w:t>
      </w:r>
      <w:r>
        <w:rPr>
          <w:sz w:val="22"/>
        </w:rPr>
        <w:t>justo</w:t>
      </w:r>
      <w:r>
        <w:rPr>
          <w:spacing w:val="-1"/>
          <w:sz w:val="22"/>
        </w:rPr>
        <w:t> </w:t>
      </w:r>
      <w:r>
        <w:rPr>
          <w:sz w:val="22"/>
        </w:rPr>
        <w:t>por</w:t>
      </w:r>
      <w:r>
        <w:rPr>
          <w:spacing w:val="-3"/>
          <w:sz w:val="22"/>
        </w:rPr>
        <w:t> </w:t>
      </w:r>
      <w:r>
        <w:rPr>
          <w:sz w:val="22"/>
        </w:rPr>
        <w:t>meio</w:t>
      </w:r>
      <w:r>
        <w:rPr>
          <w:spacing w:val="-1"/>
          <w:sz w:val="22"/>
        </w:rPr>
        <w:t> </w:t>
      </w:r>
      <w:r>
        <w:rPr>
          <w:sz w:val="22"/>
        </w:rPr>
        <w:t>de</w:t>
      </w:r>
      <w:r>
        <w:rPr>
          <w:spacing w:val="-2"/>
          <w:sz w:val="22"/>
        </w:rPr>
        <w:t> </w:t>
      </w:r>
      <w:r>
        <w:rPr>
          <w:sz w:val="22"/>
        </w:rPr>
        <w:t>outros</w:t>
      </w:r>
      <w:r>
        <w:rPr>
          <w:spacing w:val="-2"/>
          <w:sz w:val="22"/>
        </w:rPr>
        <w:t> </w:t>
      </w:r>
      <w:r>
        <w:rPr>
          <w:sz w:val="22"/>
        </w:rPr>
        <w:t>resultados</w:t>
      </w:r>
      <w:r>
        <w:rPr>
          <w:spacing w:val="-3"/>
          <w:sz w:val="22"/>
        </w:rPr>
        <w:t> </w:t>
      </w:r>
      <w:r>
        <w:rPr>
          <w:sz w:val="22"/>
        </w:rPr>
        <w:t>abrangentes:</w:t>
      </w:r>
      <w:r>
        <w:rPr>
          <w:spacing w:val="-4"/>
          <w:sz w:val="22"/>
        </w:rPr>
        <w:t> </w:t>
      </w:r>
      <w:r>
        <w:rPr>
          <w:sz w:val="22"/>
        </w:rPr>
        <w:t>ativo</w:t>
      </w:r>
      <w:r>
        <w:rPr>
          <w:spacing w:val="-2"/>
          <w:sz w:val="22"/>
        </w:rPr>
        <w:t> </w:t>
      </w:r>
      <w:r>
        <w:rPr>
          <w:sz w:val="22"/>
        </w:rPr>
        <w:t>financeiro</w:t>
      </w:r>
      <w:r>
        <w:rPr>
          <w:spacing w:val="-1"/>
          <w:sz w:val="22"/>
        </w:rPr>
        <w:t> </w:t>
      </w:r>
      <w:r>
        <w:rPr>
          <w:sz w:val="22"/>
        </w:rPr>
        <w:t>(instrumento financeiro</w:t>
      </w:r>
      <w:r>
        <w:rPr>
          <w:spacing w:val="-2"/>
          <w:sz w:val="22"/>
        </w:rPr>
        <w:t> </w:t>
      </w:r>
      <w:r>
        <w:rPr>
          <w:sz w:val="22"/>
        </w:rPr>
        <w:t>de</w:t>
      </w:r>
      <w:r>
        <w:rPr>
          <w:spacing w:val="-1"/>
          <w:sz w:val="22"/>
        </w:rPr>
        <w:t> </w:t>
      </w:r>
      <w:r>
        <w:rPr>
          <w:sz w:val="22"/>
        </w:rPr>
        <w:t>dívida)</w:t>
      </w:r>
      <w:r>
        <w:rPr>
          <w:spacing w:val="-2"/>
          <w:sz w:val="22"/>
        </w:rPr>
        <w:t> </w:t>
      </w:r>
      <w:r>
        <w:rPr>
          <w:sz w:val="22"/>
        </w:rPr>
        <w:t>cujo fluxo de caixa contratual resulta somente do recebimento de principal e juros sobre o principal em datas específicas e, cujo modelo de negócios objetiva tanto o recebimento dos fluxos de caixa contratuais do ativo quanto sua venda, bem como investimentos em instrumento patrimoniais não mantidos para negociação nem contraprestação contingente, que no reconhecimento inicial, a Companhia elegeu de forma irrevogável por apresentar alterações subsequentes no valor justo do investimento em outros resultados abrangentes;</w:t>
      </w:r>
      <w:r>
        <w:rPr>
          <w:spacing w:val="-13"/>
          <w:sz w:val="22"/>
        </w:rPr>
        <w:t> </w:t>
      </w:r>
      <w:r>
        <w:rPr>
          <w:sz w:val="22"/>
        </w:rPr>
        <w:t>e</w:t>
      </w:r>
    </w:p>
    <w:p>
      <w:pPr>
        <w:pStyle w:val="ListParagraph"/>
        <w:numPr>
          <w:ilvl w:val="0"/>
          <w:numId w:val="6"/>
        </w:numPr>
        <w:tabs>
          <w:tab w:pos="433" w:val="left" w:leader="none"/>
          <w:tab w:pos="435" w:val="left" w:leader="none"/>
        </w:tabs>
        <w:spacing w:line="240" w:lineRule="auto" w:before="241" w:after="0"/>
        <w:ind w:left="435" w:right="369" w:hanging="285"/>
        <w:jc w:val="both"/>
        <w:rPr>
          <w:sz w:val="22"/>
        </w:rPr>
      </w:pPr>
      <w:r>
        <w:rPr>
          <w:sz w:val="22"/>
        </w:rPr>
        <w:t>Valor justo por meio do resultado: todos os demais ativos financeiros. Esta categoria geralmente inclui instrumentos financeiros derivativos.</w:t>
      </w:r>
    </w:p>
    <w:p>
      <w:pPr>
        <w:pStyle w:val="ListParagraph"/>
        <w:numPr>
          <w:ilvl w:val="2"/>
          <w:numId w:val="4"/>
        </w:numPr>
        <w:tabs>
          <w:tab w:pos="879" w:val="left" w:leader="none"/>
        </w:tabs>
        <w:spacing w:line="240" w:lineRule="auto" w:before="241" w:after="0"/>
        <w:ind w:left="879" w:right="0" w:hanging="729"/>
        <w:jc w:val="left"/>
        <w:rPr>
          <w:b/>
          <w:sz w:val="24"/>
        </w:rPr>
      </w:pPr>
      <w:r>
        <w:rPr>
          <w:b/>
          <w:sz w:val="24"/>
        </w:rPr>
        <w:t>Passivos</w:t>
      </w:r>
      <w:r>
        <w:rPr>
          <w:b/>
          <w:spacing w:val="-3"/>
          <w:sz w:val="24"/>
        </w:rPr>
        <w:t> </w:t>
      </w:r>
      <w:r>
        <w:rPr>
          <w:b/>
          <w:spacing w:val="-2"/>
          <w:sz w:val="24"/>
        </w:rPr>
        <w:t>Financeiros</w:t>
      </w:r>
    </w:p>
    <w:p>
      <w:pPr>
        <w:pStyle w:val="ListParagraph"/>
        <w:numPr>
          <w:ilvl w:val="0"/>
          <w:numId w:val="7"/>
        </w:numPr>
        <w:tabs>
          <w:tab w:pos="718" w:val="left" w:leader="none"/>
        </w:tabs>
        <w:spacing w:line="240" w:lineRule="auto" w:before="240" w:after="0"/>
        <w:ind w:left="718" w:right="0" w:hanging="568"/>
        <w:jc w:val="left"/>
        <w:rPr>
          <w:b/>
          <w:sz w:val="24"/>
        </w:rPr>
      </w:pPr>
      <w:r>
        <w:rPr>
          <w:b/>
          <w:sz w:val="24"/>
        </w:rPr>
        <w:t>Reconhecimento</w:t>
      </w:r>
      <w:r>
        <w:rPr>
          <w:b/>
          <w:spacing w:val="-1"/>
          <w:sz w:val="24"/>
        </w:rPr>
        <w:t> </w:t>
      </w:r>
      <w:r>
        <w:rPr>
          <w:b/>
          <w:sz w:val="24"/>
        </w:rPr>
        <w:t>e mensuração</w:t>
      </w:r>
      <w:r>
        <w:rPr>
          <w:b/>
          <w:spacing w:val="-2"/>
          <w:sz w:val="24"/>
        </w:rPr>
        <w:t> inicial</w:t>
      </w:r>
    </w:p>
    <w:p>
      <w:pPr>
        <w:pStyle w:val="BodyText"/>
        <w:spacing w:before="240"/>
        <w:ind w:left="152" w:right="361" w:hanging="1"/>
        <w:jc w:val="both"/>
      </w:pPr>
      <w:r>
        <w:rPr/>
        <w:t>Um passivo financeiro é reconhecido quando a entidade se tornar parte das disposições contratuais do </w:t>
      </w:r>
      <w:r>
        <w:rPr>
          <w:spacing w:val="-2"/>
        </w:rPr>
        <w:t>instrumento.</w:t>
      </w:r>
    </w:p>
    <w:p>
      <w:pPr>
        <w:spacing w:after="0"/>
        <w:jc w:val="both"/>
        <w:sectPr>
          <w:pgSz w:w="11910" w:h="16840"/>
          <w:pgMar w:header="637" w:footer="630" w:top="1800" w:bottom="820" w:left="700" w:right="480"/>
        </w:sectPr>
      </w:pPr>
    </w:p>
    <w:p>
      <w:pPr>
        <w:pStyle w:val="BodyText"/>
        <w:spacing w:before="17"/>
      </w:pPr>
    </w:p>
    <w:p>
      <w:pPr>
        <w:pStyle w:val="BodyText"/>
        <w:ind w:left="151" w:right="359"/>
        <w:jc w:val="both"/>
      </w:pPr>
      <w:r>
        <w:rPr/>
        <w:t>Exceto por passivos financeiros mensurados ao valor justo, no reconhecimento inicial, passivos financeiros são mensurados a valor justo adicionado ou deduzido dos custos de transação que sejam diretamente atribuíveis à aquisição ou à emissão de tais passivos.</w:t>
      </w:r>
    </w:p>
    <w:p>
      <w:pPr>
        <w:pStyle w:val="ListParagraph"/>
        <w:numPr>
          <w:ilvl w:val="0"/>
          <w:numId w:val="7"/>
        </w:numPr>
        <w:tabs>
          <w:tab w:pos="718" w:val="left" w:leader="none"/>
        </w:tabs>
        <w:spacing w:line="240" w:lineRule="auto" w:before="239" w:after="0"/>
        <w:ind w:left="718" w:right="0" w:hanging="568"/>
        <w:jc w:val="left"/>
        <w:rPr>
          <w:b/>
          <w:sz w:val="24"/>
        </w:rPr>
      </w:pPr>
      <w:r>
        <w:rPr>
          <w:b/>
          <w:sz w:val="24"/>
        </w:rPr>
        <w:t>Classificação</w:t>
      </w:r>
      <w:r>
        <w:rPr>
          <w:b/>
          <w:spacing w:val="-2"/>
          <w:sz w:val="24"/>
        </w:rPr>
        <w:t> </w:t>
      </w:r>
      <w:r>
        <w:rPr>
          <w:b/>
          <w:sz w:val="24"/>
        </w:rPr>
        <w:t>e mensuração</w:t>
      </w:r>
      <w:r>
        <w:rPr>
          <w:b/>
          <w:spacing w:val="-2"/>
          <w:sz w:val="24"/>
        </w:rPr>
        <w:t> subsequente</w:t>
      </w:r>
    </w:p>
    <w:p>
      <w:pPr>
        <w:pStyle w:val="BodyText"/>
        <w:spacing w:before="241"/>
        <w:ind w:left="151" w:right="360"/>
        <w:jc w:val="both"/>
      </w:pPr>
      <w:r>
        <w:rPr/>
        <w:t>Passivos financeiros são classificados como mensurados subsequentemente pelo custo amortizado, exceto em determinadas</w:t>
      </w:r>
      <w:r>
        <w:rPr>
          <w:spacing w:val="-6"/>
        </w:rPr>
        <w:t> </w:t>
      </w:r>
      <w:r>
        <w:rPr/>
        <w:t>circunstâncias,</w:t>
      </w:r>
      <w:r>
        <w:rPr>
          <w:spacing w:val="-4"/>
        </w:rPr>
        <w:t> </w:t>
      </w:r>
      <w:r>
        <w:rPr/>
        <w:t>que</w:t>
      </w:r>
      <w:r>
        <w:rPr>
          <w:spacing w:val="-5"/>
        </w:rPr>
        <w:t> </w:t>
      </w:r>
      <w:r>
        <w:rPr/>
        <w:t>incluem</w:t>
      </w:r>
      <w:r>
        <w:rPr>
          <w:spacing w:val="-7"/>
        </w:rPr>
        <w:t> </w:t>
      </w:r>
      <w:r>
        <w:rPr/>
        <w:t>determinados</w:t>
      </w:r>
      <w:r>
        <w:rPr>
          <w:spacing w:val="-4"/>
        </w:rPr>
        <w:t> </w:t>
      </w:r>
      <w:r>
        <w:rPr/>
        <w:t>passivos</w:t>
      </w:r>
      <w:r>
        <w:rPr>
          <w:spacing w:val="-5"/>
        </w:rPr>
        <w:t> </w:t>
      </w:r>
      <w:r>
        <w:rPr/>
        <w:t>financeiros</w:t>
      </w:r>
      <w:r>
        <w:rPr>
          <w:spacing w:val="-7"/>
        </w:rPr>
        <w:t> </w:t>
      </w:r>
      <w:r>
        <w:rPr/>
        <w:t>ao</w:t>
      </w:r>
      <w:r>
        <w:rPr>
          <w:spacing w:val="-5"/>
        </w:rPr>
        <w:t> </w:t>
      </w:r>
      <w:r>
        <w:rPr/>
        <w:t>valor</w:t>
      </w:r>
      <w:r>
        <w:rPr>
          <w:spacing w:val="-5"/>
        </w:rPr>
        <w:t> </w:t>
      </w:r>
      <w:r>
        <w:rPr/>
        <w:t>justo</w:t>
      </w:r>
      <w:r>
        <w:rPr>
          <w:spacing w:val="-6"/>
        </w:rPr>
        <w:t> </w:t>
      </w:r>
      <w:r>
        <w:rPr/>
        <w:t>por</w:t>
      </w:r>
      <w:r>
        <w:rPr>
          <w:spacing w:val="-11"/>
        </w:rPr>
        <w:t> </w:t>
      </w:r>
      <w:r>
        <w:rPr/>
        <w:t>meio</w:t>
      </w:r>
      <w:r>
        <w:rPr>
          <w:spacing w:val="-4"/>
        </w:rPr>
        <w:t> </w:t>
      </w:r>
      <w:r>
        <w:rPr/>
        <w:t>do</w:t>
      </w:r>
      <w:r>
        <w:rPr>
          <w:spacing w:val="-4"/>
        </w:rPr>
        <w:t> </w:t>
      </w:r>
      <w:r>
        <w:rPr/>
        <w:t>resultado.</w:t>
      </w:r>
    </w:p>
    <w:p>
      <w:pPr>
        <w:pStyle w:val="BodyText"/>
        <w:spacing w:before="240"/>
        <w:ind w:left="152"/>
        <w:jc w:val="both"/>
      </w:pPr>
      <w:r>
        <w:rPr/>
        <w:t>Financiamentos</w:t>
      </w:r>
      <w:r>
        <w:rPr>
          <w:spacing w:val="-10"/>
        </w:rPr>
        <w:t> </w:t>
      </w:r>
      <w:r>
        <w:rPr/>
        <w:t>são</w:t>
      </w:r>
      <w:r>
        <w:rPr>
          <w:spacing w:val="-8"/>
        </w:rPr>
        <w:t> </w:t>
      </w:r>
      <w:r>
        <w:rPr/>
        <w:t>mensurados</w:t>
      </w:r>
      <w:r>
        <w:rPr>
          <w:spacing w:val="-9"/>
        </w:rPr>
        <w:t> </w:t>
      </w:r>
      <w:r>
        <w:rPr/>
        <w:t>ao</w:t>
      </w:r>
      <w:r>
        <w:rPr>
          <w:spacing w:val="-9"/>
        </w:rPr>
        <w:t> </w:t>
      </w:r>
      <w:r>
        <w:rPr/>
        <w:t>custo</w:t>
      </w:r>
      <w:r>
        <w:rPr>
          <w:spacing w:val="-9"/>
        </w:rPr>
        <w:t> </w:t>
      </w:r>
      <w:r>
        <w:rPr/>
        <w:t>amortizado</w:t>
      </w:r>
      <w:r>
        <w:rPr>
          <w:spacing w:val="-7"/>
        </w:rPr>
        <w:t> </w:t>
      </w:r>
      <w:r>
        <w:rPr/>
        <w:t>utilizando</w:t>
      </w:r>
      <w:r>
        <w:rPr>
          <w:spacing w:val="-8"/>
        </w:rPr>
        <w:t> </w:t>
      </w:r>
      <w:r>
        <w:rPr/>
        <w:t>o</w:t>
      </w:r>
      <w:r>
        <w:rPr>
          <w:spacing w:val="-7"/>
        </w:rPr>
        <w:t> </w:t>
      </w:r>
      <w:r>
        <w:rPr/>
        <w:t>método</w:t>
      </w:r>
      <w:r>
        <w:rPr>
          <w:spacing w:val="-8"/>
        </w:rPr>
        <w:t> </w:t>
      </w:r>
      <w:r>
        <w:rPr/>
        <w:t>dos</w:t>
      </w:r>
      <w:r>
        <w:rPr>
          <w:spacing w:val="-8"/>
        </w:rPr>
        <w:t> </w:t>
      </w:r>
      <w:r>
        <w:rPr/>
        <w:t>juros</w:t>
      </w:r>
      <w:r>
        <w:rPr>
          <w:spacing w:val="-9"/>
        </w:rPr>
        <w:t> </w:t>
      </w:r>
      <w:r>
        <w:rPr>
          <w:spacing w:val="-2"/>
        </w:rPr>
        <w:t>efetivos.</w:t>
      </w:r>
    </w:p>
    <w:p>
      <w:pPr>
        <w:pStyle w:val="BodyText"/>
        <w:spacing w:before="240"/>
        <w:ind w:left="151" w:right="356"/>
        <w:jc w:val="both"/>
      </w:pPr>
      <w:r>
        <w:rPr/>
        <w:t>Quando passivos financeiros mensurados a custo amortizado tem seus termos contratuais modificados e tal modificação não for substancial, seus saldos contábeis refletirão o valor presente dos seus fluxos de caixa sob os novos termos, utilizando a taxa de juros efetiva original. A diferença entre o saldo contábil do instrumento remensurado</w:t>
      </w:r>
      <w:r>
        <w:rPr>
          <w:spacing w:val="-6"/>
        </w:rPr>
        <w:t> </w:t>
      </w:r>
      <w:r>
        <w:rPr/>
        <w:t>quando</w:t>
      </w:r>
      <w:r>
        <w:rPr>
          <w:spacing w:val="-6"/>
        </w:rPr>
        <w:t> </w:t>
      </w:r>
      <w:r>
        <w:rPr/>
        <w:t>da</w:t>
      </w:r>
      <w:r>
        <w:rPr>
          <w:spacing w:val="-8"/>
        </w:rPr>
        <w:t> </w:t>
      </w:r>
      <w:r>
        <w:rPr/>
        <w:t>modificação</w:t>
      </w:r>
      <w:r>
        <w:rPr>
          <w:spacing w:val="-4"/>
        </w:rPr>
        <w:t> </w:t>
      </w:r>
      <w:r>
        <w:rPr/>
        <w:t>não</w:t>
      </w:r>
      <w:r>
        <w:rPr>
          <w:spacing w:val="-8"/>
        </w:rPr>
        <w:t> </w:t>
      </w:r>
      <w:r>
        <w:rPr/>
        <w:t>substancial</w:t>
      </w:r>
      <w:r>
        <w:rPr>
          <w:spacing w:val="-10"/>
        </w:rPr>
        <w:t> </w:t>
      </w:r>
      <w:r>
        <w:rPr/>
        <w:t>dos</w:t>
      </w:r>
      <w:r>
        <w:rPr>
          <w:spacing w:val="-9"/>
        </w:rPr>
        <w:t> </w:t>
      </w:r>
      <w:r>
        <w:rPr/>
        <w:t>seus</w:t>
      </w:r>
      <w:r>
        <w:rPr>
          <w:spacing w:val="-8"/>
        </w:rPr>
        <w:t> </w:t>
      </w:r>
      <w:r>
        <w:rPr/>
        <w:t>termos</w:t>
      </w:r>
      <w:r>
        <w:rPr>
          <w:spacing w:val="-10"/>
        </w:rPr>
        <w:t> </w:t>
      </w:r>
      <w:r>
        <w:rPr/>
        <w:t>e</w:t>
      </w:r>
      <w:r>
        <w:rPr>
          <w:spacing w:val="-9"/>
        </w:rPr>
        <w:t> </w:t>
      </w:r>
      <w:r>
        <w:rPr/>
        <w:t>seu</w:t>
      </w:r>
      <w:r>
        <w:rPr>
          <w:spacing w:val="-9"/>
        </w:rPr>
        <w:t> </w:t>
      </w:r>
      <w:r>
        <w:rPr/>
        <w:t>saldo</w:t>
      </w:r>
      <w:r>
        <w:rPr>
          <w:spacing w:val="-8"/>
        </w:rPr>
        <w:t> </w:t>
      </w:r>
      <w:r>
        <w:rPr/>
        <w:t>contábil</w:t>
      </w:r>
      <w:r>
        <w:rPr>
          <w:spacing w:val="-7"/>
        </w:rPr>
        <w:t> </w:t>
      </w:r>
      <w:r>
        <w:rPr/>
        <w:t>imediatamente</w:t>
      </w:r>
      <w:r>
        <w:rPr>
          <w:spacing w:val="-9"/>
        </w:rPr>
        <w:t> </w:t>
      </w:r>
      <w:r>
        <w:rPr/>
        <w:t>anterior a tal modificação é reconhecida como ganho ou perda no resultado do</w:t>
      </w:r>
      <w:r>
        <w:rPr>
          <w:spacing w:val="-3"/>
        </w:rPr>
        <w:t> </w:t>
      </w:r>
      <w:r>
        <w:rPr/>
        <w:t>período.</w:t>
      </w:r>
    </w:p>
    <w:p>
      <w:pPr>
        <w:pStyle w:val="BodyText"/>
        <w:spacing w:before="242"/>
        <w:ind w:left="151" w:right="360"/>
        <w:jc w:val="both"/>
      </w:pPr>
      <w:r>
        <w:rPr/>
        <w:t>A companhia não teve modificação substancial que tenha alterado o fluxo de caixa de seus passivos financeiros mensurados a custo amortizado, portanto, refletem o valor presente dos seus fluxos de caixa.</w:t>
      </w:r>
    </w:p>
    <w:p>
      <w:pPr>
        <w:pStyle w:val="Heading3"/>
        <w:numPr>
          <w:ilvl w:val="0"/>
          <w:numId w:val="4"/>
        </w:numPr>
        <w:tabs>
          <w:tab w:pos="718" w:val="left" w:leader="none"/>
        </w:tabs>
        <w:spacing w:line="240" w:lineRule="auto" w:before="240" w:after="0"/>
        <w:ind w:left="718" w:right="0" w:hanging="568"/>
        <w:jc w:val="left"/>
      </w:pPr>
      <w:bookmarkStart w:name="_TOC_250012" w:id="13"/>
      <w:r>
        <w:rPr/>
        <w:t>Estimativas</w:t>
      </w:r>
      <w:r>
        <w:rPr>
          <w:spacing w:val="-7"/>
        </w:rPr>
        <w:t> </w:t>
      </w:r>
      <w:r>
        <w:rPr/>
        <w:t>e</w:t>
      </w:r>
      <w:r>
        <w:rPr>
          <w:spacing w:val="-8"/>
        </w:rPr>
        <w:t> </w:t>
      </w:r>
      <w:r>
        <w:rPr/>
        <w:t>julgamentos</w:t>
      </w:r>
      <w:r>
        <w:rPr>
          <w:spacing w:val="-8"/>
        </w:rPr>
        <w:t> </w:t>
      </w:r>
      <w:bookmarkEnd w:id="13"/>
      <w:r>
        <w:rPr>
          <w:spacing w:val="-2"/>
        </w:rPr>
        <w:t>relevantes</w:t>
      </w:r>
    </w:p>
    <w:p>
      <w:pPr>
        <w:pStyle w:val="BodyText"/>
        <w:spacing w:before="240"/>
        <w:ind w:left="151" w:right="356"/>
        <w:jc w:val="both"/>
      </w:pPr>
      <w:r>
        <w:rPr/>
        <w:t>A</w:t>
      </w:r>
      <w:r>
        <w:rPr>
          <w:spacing w:val="-1"/>
        </w:rPr>
        <w:t> </w:t>
      </w:r>
      <w:r>
        <w:rPr/>
        <w:t>seguir</w:t>
      </w:r>
      <w:r>
        <w:rPr>
          <w:spacing w:val="-2"/>
        </w:rPr>
        <w:t> </w:t>
      </w:r>
      <w:r>
        <w:rPr/>
        <w:t>são</w:t>
      </w:r>
      <w:r>
        <w:rPr>
          <w:spacing w:val="-1"/>
        </w:rPr>
        <w:t> </w:t>
      </w:r>
      <w:r>
        <w:rPr/>
        <w:t>apresentadas informações</w:t>
      </w:r>
      <w:r>
        <w:rPr>
          <w:spacing w:val="-1"/>
        </w:rPr>
        <w:t> </w:t>
      </w:r>
      <w:r>
        <w:rPr/>
        <w:t>apenas</w:t>
      </w:r>
      <w:r>
        <w:rPr>
          <w:spacing w:val="-1"/>
        </w:rPr>
        <w:t> </w:t>
      </w:r>
      <w:r>
        <w:rPr/>
        <w:t>sobre</w:t>
      </w:r>
      <w:r>
        <w:rPr>
          <w:spacing w:val="-2"/>
        </w:rPr>
        <w:t> </w:t>
      </w:r>
      <w:r>
        <w:rPr/>
        <w:t>práticas</w:t>
      </w:r>
      <w:r>
        <w:rPr>
          <w:spacing w:val="-1"/>
        </w:rPr>
        <w:t> </w:t>
      </w:r>
      <w:r>
        <w:rPr/>
        <w:t>contábeis</w:t>
      </w:r>
      <w:r>
        <w:rPr>
          <w:spacing w:val="-1"/>
        </w:rPr>
        <w:t> </w:t>
      </w:r>
      <w:r>
        <w:rPr/>
        <w:t>e</w:t>
      </w:r>
      <w:r>
        <w:rPr>
          <w:spacing w:val="-2"/>
        </w:rPr>
        <w:t> </w:t>
      </w:r>
      <w:r>
        <w:rPr/>
        <w:t>estimativas</w:t>
      </w:r>
      <w:r>
        <w:rPr>
          <w:spacing w:val="-2"/>
        </w:rPr>
        <w:t> </w:t>
      </w:r>
      <w:r>
        <w:rPr/>
        <w:t>que</w:t>
      </w:r>
      <w:r>
        <w:rPr>
          <w:spacing w:val="-2"/>
        </w:rPr>
        <w:t> </w:t>
      </w:r>
      <w:r>
        <w:rPr/>
        <w:t>requerem</w:t>
      </w:r>
      <w:r>
        <w:rPr>
          <w:spacing w:val="-1"/>
        </w:rPr>
        <w:t> </w:t>
      </w:r>
      <w:r>
        <w:rPr/>
        <w:t>elevado</w:t>
      </w:r>
      <w:r>
        <w:rPr>
          <w:spacing w:val="-1"/>
        </w:rPr>
        <w:t> </w:t>
      </w:r>
      <w:r>
        <w:rPr/>
        <w:t>nível de julgamento ou complexidade em sua aplicação e que podem afetar materialmente a situação financeira e os resultados da companhia.</w:t>
      </w:r>
    </w:p>
    <w:p>
      <w:pPr>
        <w:pStyle w:val="ListParagraph"/>
        <w:numPr>
          <w:ilvl w:val="1"/>
          <w:numId w:val="4"/>
        </w:numPr>
        <w:tabs>
          <w:tab w:pos="859" w:val="left" w:leader="none"/>
        </w:tabs>
        <w:spacing w:line="240" w:lineRule="auto" w:before="238" w:after="0"/>
        <w:ind w:left="859" w:right="0" w:hanging="709"/>
        <w:jc w:val="left"/>
        <w:rPr>
          <w:b/>
          <w:sz w:val="24"/>
        </w:rPr>
      </w:pPr>
      <w:r>
        <w:rPr>
          <w:b/>
          <w:sz w:val="24"/>
        </w:rPr>
        <w:t>Benefícios</w:t>
      </w:r>
      <w:r>
        <w:rPr>
          <w:b/>
          <w:spacing w:val="-5"/>
          <w:sz w:val="24"/>
        </w:rPr>
        <w:t> </w:t>
      </w:r>
      <w:r>
        <w:rPr>
          <w:b/>
          <w:sz w:val="24"/>
        </w:rPr>
        <w:t>concedidos</w:t>
      </w:r>
      <w:r>
        <w:rPr>
          <w:b/>
          <w:spacing w:val="-4"/>
          <w:sz w:val="24"/>
        </w:rPr>
        <w:t> </w:t>
      </w:r>
      <w:r>
        <w:rPr>
          <w:b/>
          <w:sz w:val="24"/>
        </w:rPr>
        <w:t>a</w:t>
      </w:r>
      <w:r>
        <w:rPr>
          <w:b/>
          <w:spacing w:val="-6"/>
          <w:sz w:val="24"/>
        </w:rPr>
        <w:t> </w:t>
      </w:r>
      <w:r>
        <w:rPr>
          <w:b/>
          <w:sz w:val="24"/>
        </w:rPr>
        <w:t>empregados</w:t>
      </w:r>
      <w:r>
        <w:rPr>
          <w:b/>
          <w:spacing w:val="-7"/>
          <w:sz w:val="24"/>
        </w:rPr>
        <w:t> </w:t>
      </w:r>
      <w:r>
        <w:rPr>
          <w:b/>
          <w:spacing w:val="-2"/>
          <w:sz w:val="24"/>
        </w:rPr>
        <w:t>(pós‐emprego)</w:t>
      </w:r>
    </w:p>
    <w:p>
      <w:pPr>
        <w:pStyle w:val="BodyText"/>
        <w:spacing w:before="241"/>
        <w:ind w:left="151" w:right="357"/>
        <w:jc w:val="both"/>
      </w:pPr>
      <w:r>
        <w:rPr/>
        <w:t>Os compromissos atuariais e os custos com os planos de benefícios definidos de pensão e aposentadoria e os de assistência</w:t>
      </w:r>
      <w:r>
        <w:rPr>
          <w:spacing w:val="-13"/>
        </w:rPr>
        <w:t> </w:t>
      </w:r>
      <w:r>
        <w:rPr/>
        <w:t>médica</w:t>
      </w:r>
      <w:r>
        <w:rPr>
          <w:spacing w:val="-12"/>
        </w:rPr>
        <w:t> </w:t>
      </w:r>
      <w:r>
        <w:rPr/>
        <w:t>dependem</w:t>
      </w:r>
      <w:r>
        <w:rPr>
          <w:spacing w:val="-13"/>
        </w:rPr>
        <w:t> </w:t>
      </w:r>
      <w:r>
        <w:rPr/>
        <w:t>de</w:t>
      </w:r>
      <w:r>
        <w:rPr>
          <w:spacing w:val="-12"/>
        </w:rPr>
        <w:t> </w:t>
      </w:r>
      <w:r>
        <w:rPr/>
        <w:t>uma</w:t>
      </w:r>
      <w:r>
        <w:rPr>
          <w:spacing w:val="-13"/>
        </w:rPr>
        <w:t> </w:t>
      </w:r>
      <w:r>
        <w:rPr/>
        <w:t>série</w:t>
      </w:r>
      <w:r>
        <w:rPr>
          <w:spacing w:val="-12"/>
        </w:rPr>
        <w:t> </w:t>
      </w:r>
      <w:r>
        <w:rPr/>
        <w:t>de</w:t>
      </w:r>
      <w:r>
        <w:rPr>
          <w:spacing w:val="-13"/>
        </w:rPr>
        <w:t> </w:t>
      </w:r>
      <w:r>
        <w:rPr/>
        <w:t>premissas</w:t>
      </w:r>
      <w:r>
        <w:rPr>
          <w:spacing w:val="-12"/>
        </w:rPr>
        <w:t> </w:t>
      </w:r>
      <w:r>
        <w:rPr/>
        <w:t>econômicas</w:t>
      </w:r>
      <w:r>
        <w:rPr>
          <w:spacing w:val="-12"/>
        </w:rPr>
        <w:t> </w:t>
      </w:r>
      <w:r>
        <w:rPr/>
        <w:t>e</w:t>
      </w:r>
      <w:r>
        <w:rPr>
          <w:spacing w:val="-13"/>
        </w:rPr>
        <w:t> </w:t>
      </w:r>
      <w:r>
        <w:rPr/>
        <w:t>demográficas,</w:t>
      </w:r>
      <w:r>
        <w:rPr>
          <w:spacing w:val="-12"/>
        </w:rPr>
        <w:t> </w:t>
      </w:r>
      <w:r>
        <w:rPr/>
        <w:t>dentre</w:t>
      </w:r>
      <w:r>
        <w:rPr>
          <w:spacing w:val="-13"/>
        </w:rPr>
        <w:t> </w:t>
      </w:r>
      <w:r>
        <w:rPr/>
        <w:t>as</w:t>
      </w:r>
      <w:r>
        <w:rPr>
          <w:spacing w:val="-12"/>
        </w:rPr>
        <w:t> </w:t>
      </w:r>
      <w:r>
        <w:rPr/>
        <w:t>principais</w:t>
      </w:r>
      <w:r>
        <w:rPr>
          <w:spacing w:val="-13"/>
        </w:rPr>
        <w:t> </w:t>
      </w:r>
      <w:r>
        <w:rPr/>
        <w:t>utilizadas </w:t>
      </w:r>
      <w:r>
        <w:rPr>
          <w:spacing w:val="-2"/>
        </w:rPr>
        <w:t>estão:</w:t>
      </w:r>
    </w:p>
    <w:p>
      <w:pPr>
        <w:pStyle w:val="ListParagraph"/>
        <w:numPr>
          <w:ilvl w:val="0"/>
          <w:numId w:val="8"/>
        </w:numPr>
        <w:tabs>
          <w:tab w:pos="511" w:val="left" w:leader="none"/>
        </w:tabs>
        <w:spacing w:line="240" w:lineRule="auto" w:before="241" w:after="0"/>
        <w:ind w:left="511" w:right="361" w:hanging="360"/>
        <w:jc w:val="both"/>
        <w:rPr>
          <w:sz w:val="22"/>
        </w:rPr>
      </w:pPr>
      <w:r>
        <w:rPr>
          <w:sz w:val="22"/>
        </w:rPr>
        <w:t>Taxa</w:t>
      </w:r>
      <w:r>
        <w:rPr>
          <w:spacing w:val="-5"/>
          <w:sz w:val="22"/>
        </w:rPr>
        <w:t> </w:t>
      </w:r>
      <w:r>
        <w:rPr>
          <w:sz w:val="22"/>
        </w:rPr>
        <w:t>de</w:t>
      </w:r>
      <w:r>
        <w:rPr>
          <w:spacing w:val="-2"/>
          <w:sz w:val="22"/>
        </w:rPr>
        <w:t> </w:t>
      </w:r>
      <w:r>
        <w:rPr>
          <w:sz w:val="22"/>
        </w:rPr>
        <w:t>desconto ‐</w:t>
      </w:r>
      <w:r>
        <w:rPr>
          <w:spacing w:val="-5"/>
          <w:sz w:val="22"/>
        </w:rPr>
        <w:t> </w:t>
      </w:r>
      <w:r>
        <w:rPr>
          <w:sz w:val="22"/>
        </w:rPr>
        <w:t>compreende</w:t>
      </w:r>
      <w:r>
        <w:rPr>
          <w:spacing w:val="-1"/>
          <w:sz w:val="22"/>
        </w:rPr>
        <w:t> </w:t>
      </w:r>
      <w:r>
        <w:rPr>
          <w:sz w:val="22"/>
        </w:rPr>
        <w:t>a</w:t>
      </w:r>
      <w:r>
        <w:rPr>
          <w:spacing w:val="-4"/>
          <w:sz w:val="22"/>
        </w:rPr>
        <w:t> </w:t>
      </w:r>
      <w:r>
        <w:rPr>
          <w:sz w:val="22"/>
        </w:rPr>
        <w:t>curva</w:t>
      </w:r>
      <w:r>
        <w:rPr>
          <w:spacing w:val="-3"/>
          <w:sz w:val="22"/>
        </w:rPr>
        <w:t> </w:t>
      </w:r>
      <w:r>
        <w:rPr>
          <w:sz w:val="22"/>
        </w:rPr>
        <w:t>de</w:t>
      </w:r>
      <w:r>
        <w:rPr>
          <w:spacing w:val="-2"/>
          <w:sz w:val="22"/>
        </w:rPr>
        <w:t> </w:t>
      </w:r>
      <w:r>
        <w:rPr>
          <w:sz w:val="22"/>
        </w:rPr>
        <w:t>inflação</w:t>
      </w:r>
      <w:r>
        <w:rPr>
          <w:spacing w:val="-2"/>
          <w:sz w:val="22"/>
        </w:rPr>
        <w:t> </w:t>
      </w:r>
      <w:r>
        <w:rPr>
          <w:sz w:val="22"/>
        </w:rPr>
        <w:t>projetada</w:t>
      </w:r>
      <w:r>
        <w:rPr>
          <w:spacing w:val="-5"/>
          <w:sz w:val="22"/>
        </w:rPr>
        <w:t> </w:t>
      </w:r>
      <w:r>
        <w:rPr>
          <w:sz w:val="22"/>
        </w:rPr>
        <w:t>com</w:t>
      </w:r>
      <w:r>
        <w:rPr>
          <w:spacing w:val="-2"/>
          <w:sz w:val="22"/>
        </w:rPr>
        <w:t> </w:t>
      </w:r>
      <w:r>
        <w:rPr>
          <w:sz w:val="22"/>
        </w:rPr>
        <w:t>base</w:t>
      </w:r>
      <w:r>
        <w:rPr>
          <w:spacing w:val="-4"/>
          <w:sz w:val="22"/>
        </w:rPr>
        <w:t> </w:t>
      </w:r>
      <w:r>
        <w:rPr>
          <w:sz w:val="22"/>
        </w:rPr>
        <w:t>no</w:t>
      </w:r>
      <w:r>
        <w:rPr>
          <w:spacing w:val="-6"/>
          <w:sz w:val="22"/>
        </w:rPr>
        <w:t> </w:t>
      </w:r>
      <w:r>
        <w:rPr>
          <w:sz w:val="22"/>
        </w:rPr>
        <w:t>mercado</w:t>
      </w:r>
      <w:r>
        <w:rPr>
          <w:spacing w:val="-2"/>
          <w:sz w:val="22"/>
        </w:rPr>
        <w:t> </w:t>
      </w:r>
      <w:r>
        <w:rPr>
          <w:sz w:val="22"/>
        </w:rPr>
        <w:t>mais</w:t>
      </w:r>
      <w:r>
        <w:rPr>
          <w:spacing w:val="-4"/>
          <w:sz w:val="22"/>
        </w:rPr>
        <w:t> </w:t>
      </w:r>
      <w:r>
        <w:rPr>
          <w:sz w:val="22"/>
        </w:rPr>
        <w:t>juros</w:t>
      </w:r>
      <w:r>
        <w:rPr>
          <w:spacing w:val="-2"/>
          <w:sz w:val="22"/>
        </w:rPr>
        <w:t> </w:t>
      </w:r>
      <w:r>
        <w:rPr>
          <w:sz w:val="22"/>
        </w:rPr>
        <w:t>reais</w:t>
      </w:r>
      <w:r>
        <w:rPr>
          <w:spacing w:val="-4"/>
          <w:sz w:val="22"/>
        </w:rPr>
        <w:t> </w:t>
      </w:r>
      <w:r>
        <w:rPr>
          <w:sz w:val="22"/>
        </w:rPr>
        <w:t>apurados por meio de uma taxa equivalente que conjuga o perfil de maturidade das obrigações de pensão e saúde com a curva futura de retorno dos títulos de mais longo prazo do governo brasileiro;</w:t>
      </w:r>
    </w:p>
    <w:p>
      <w:pPr>
        <w:pStyle w:val="ListParagraph"/>
        <w:numPr>
          <w:ilvl w:val="0"/>
          <w:numId w:val="8"/>
        </w:numPr>
        <w:tabs>
          <w:tab w:pos="512" w:val="left" w:leader="none"/>
        </w:tabs>
        <w:spacing w:line="240" w:lineRule="auto" w:before="241" w:after="0"/>
        <w:ind w:left="512" w:right="358" w:hanging="360"/>
        <w:jc w:val="both"/>
        <w:rPr>
          <w:sz w:val="22"/>
        </w:rPr>
      </w:pPr>
      <w:r>
        <w:rPr>
          <w:sz w:val="22"/>
        </w:rPr>
        <w:t>Taxa de variação de custos médicos e hospitalares ‐ premissa representada pela projeção de taxa de crescimento</w:t>
      </w:r>
      <w:r>
        <w:rPr>
          <w:spacing w:val="-1"/>
          <w:sz w:val="22"/>
        </w:rPr>
        <w:t> </w:t>
      </w:r>
      <w:r>
        <w:rPr>
          <w:sz w:val="22"/>
        </w:rPr>
        <w:t>dos</w:t>
      </w:r>
      <w:r>
        <w:rPr>
          <w:spacing w:val="-2"/>
          <w:sz w:val="22"/>
        </w:rPr>
        <w:t> </w:t>
      </w:r>
      <w:r>
        <w:rPr>
          <w:sz w:val="22"/>
        </w:rPr>
        <w:t>custos</w:t>
      </w:r>
      <w:r>
        <w:rPr>
          <w:spacing w:val="-3"/>
          <w:sz w:val="22"/>
        </w:rPr>
        <w:t> </w:t>
      </w:r>
      <w:r>
        <w:rPr>
          <w:sz w:val="22"/>
        </w:rPr>
        <w:t>médicos</w:t>
      </w:r>
      <w:r>
        <w:rPr>
          <w:spacing w:val="-2"/>
          <w:sz w:val="22"/>
        </w:rPr>
        <w:t> </w:t>
      </w:r>
      <w:r>
        <w:rPr>
          <w:sz w:val="22"/>
        </w:rPr>
        <w:t>e</w:t>
      </w:r>
      <w:r>
        <w:rPr>
          <w:spacing w:val="-3"/>
          <w:sz w:val="22"/>
        </w:rPr>
        <w:t> </w:t>
      </w:r>
      <w:r>
        <w:rPr>
          <w:sz w:val="22"/>
        </w:rPr>
        <w:t>hospitalares,</w:t>
      </w:r>
      <w:r>
        <w:rPr>
          <w:spacing w:val="-4"/>
          <w:sz w:val="22"/>
        </w:rPr>
        <w:t> </w:t>
      </w:r>
      <w:r>
        <w:rPr>
          <w:sz w:val="22"/>
        </w:rPr>
        <w:t>baseada</w:t>
      </w:r>
      <w:r>
        <w:rPr>
          <w:spacing w:val="-2"/>
          <w:sz w:val="22"/>
        </w:rPr>
        <w:t> </w:t>
      </w:r>
      <w:r>
        <w:rPr>
          <w:sz w:val="22"/>
        </w:rPr>
        <w:t>no</w:t>
      </w:r>
      <w:r>
        <w:rPr>
          <w:spacing w:val="-2"/>
          <w:sz w:val="22"/>
        </w:rPr>
        <w:t> </w:t>
      </w:r>
      <w:r>
        <w:rPr>
          <w:sz w:val="22"/>
        </w:rPr>
        <w:t>histórico</w:t>
      </w:r>
      <w:r>
        <w:rPr>
          <w:spacing w:val="-2"/>
          <w:sz w:val="22"/>
        </w:rPr>
        <w:t> </w:t>
      </w:r>
      <w:r>
        <w:rPr>
          <w:sz w:val="22"/>
        </w:rPr>
        <w:t>de</w:t>
      </w:r>
      <w:r>
        <w:rPr>
          <w:spacing w:val="-3"/>
          <w:sz w:val="22"/>
        </w:rPr>
        <w:t> </w:t>
      </w:r>
      <w:r>
        <w:rPr>
          <w:sz w:val="22"/>
        </w:rPr>
        <w:t>desembolsos</w:t>
      </w:r>
      <w:r>
        <w:rPr>
          <w:spacing w:val="-2"/>
          <w:sz w:val="22"/>
        </w:rPr>
        <w:t> </w:t>
      </w:r>
      <w:r>
        <w:rPr>
          <w:sz w:val="22"/>
        </w:rPr>
        <w:t>para</w:t>
      </w:r>
      <w:r>
        <w:rPr>
          <w:spacing w:val="-2"/>
          <w:sz w:val="22"/>
        </w:rPr>
        <w:t> </w:t>
      </w:r>
      <w:r>
        <w:rPr>
          <w:sz w:val="22"/>
        </w:rPr>
        <w:t>cada</w:t>
      </w:r>
      <w:r>
        <w:rPr>
          <w:spacing w:val="-2"/>
          <w:sz w:val="22"/>
        </w:rPr>
        <w:t> </w:t>
      </w:r>
      <w:r>
        <w:rPr>
          <w:sz w:val="22"/>
        </w:rPr>
        <w:t>indivíduo (</w:t>
      </w:r>
      <w:r>
        <w:rPr>
          <w:i/>
          <w:sz w:val="22"/>
        </w:rPr>
        <w:t>per capta</w:t>
      </w:r>
      <w:r>
        <w:rPr>
          <w:sz w:val="22"/>
        </w:rPr>
        <w:t>) da Companhia nos últimos cinco anos, que se iguala à taxa da inflação geral da economia no prazo de 30 anos.</w:t>
      </w:r>
    </w:p>
    <w:p>
      <w:pPr>
        <w:pStyle w:val="BodyText"/>
        <w:spacing w:before="240"/>
        <w:ind w:left="152" w:right="361" w:hanging="1"/>
        <w:jc w:val="both"/>
      </w:pPr>
      <w:r>
        <w:rPr/>
        <w:t>A</w:t>
      </w:r>
      <w:r>
        <w:rPr>
          <w:spacing w:val="-13"/>
        </w:rPr>
        <w:t> </w:t>
      </w:r>
      <w:r>
        <w:rPr/>
        <w:t>Companhia</w:t>
      </w:r>
      <w:r>
        <w:rPr>
          <w:spacing w:val="-10"/>
        </w:rPr>
        <w:t> </w:t>
      </w:r>
      <w:r>
        <w:rPr/>
        <w:t>liquidou</w:t>
      </w:r>
      <w:r>
        <w:rPr>
          <w:spacing w:val="-10"/>
        </w:rPr>
        <w:t> </w:t>
      </w:r>
      <w:r>
        <w:rPr/>
        <w:t>em</w:t>
      </w:r>
      <w:r>
        <w:rPr>
          <w:spacing w:val="-9"/>
        </w:rPr>
        <w:t> </w:t>
      </w:r>
      <w:r>
        <w:rPr/>
        <w:t>2022</w:t>
      </w:r>
      <w:r>
        <w:rPr>
          <w:spacing w:val="-10"/>
        </w:rPr>
        <w:t> </w:t>
      </w:r>
      <w:r>
        <w:rPr/>
        <w:t>todas</w:t>
      </w:r>
      <w:r>
        <w:rPr>
          <w:spacing w:val="-12"/>
        </w:rPr>
        <w:t> </w:t>
      </w:r>
      <w:r>
        <w:rPr/>
        <w:t>as</w:t>
      </w:r>
      <w:r>
        <w:rPr>
          <w:spacing w:val="-11"/>
        </w:rPr>
        <w:t> </w:t>
      </w:r>
      <w:r>
        <w:rPr/>
        <w:t>suas</w:t>
      </w:r>
      <w:r>
        <w:rPr>
          <w:spacing w:val="-10"/>
        </w:rPr>
        <w:t> </w:t>
      </w:r>
      <w:r>
        <w:rPr/>
        <w:t>obrigações</w:t>
      </w:r>
      <w:r>
        <w:rPr>
          <w:spacing w:val="-9"/>
        </w:rPr>
        <w:t> </w:t>
      </w:r>
      <w:r>
        <w:rPr/>
        <w:t>com</w:t>
      </w:r>
      <w:r>
        <w:rPr>
          <w:spacing w:val="-9"/>
        </w:rPr>
        <w:t> </w:t>
      </w:r>
      <w:r>
        <w:rPr/>
        <w:t>benefícios</w:t>
      </w:r>
      <w:r>
        <w:rPr>
          <w:spacing w:val="-11"/>
        </w:rPr>
        <w:t> </w:t>
      </w:r>
      <w:r>
        <w:rPr/>
        <w:t>pós</w:t>
      </w:r>
      <w:r>
        <w:rPr>
          <w:spacing w:val="-10"/>
        </w:rPr>
        <w:t> </w:t>
      </w:r>
      <w:r>
        <w:rPr/>
        <w:t>emprego,</w:t>
      </w:r>
      <w:r>
        <w:rPr>
          <w:spacing w:val="-11"/>
        </w:rPr>
        <w:t> </w:t>
      </w:r>
      <w:r>
        <w:rPr/>
        <w:t>conforme</w:t>
      </w:r>
      <w:r>
        <w:rPr>
          <w:spacing w:val="-11"/>
        </w:rPr>
        <w:t> </w:t>
      </w:r>
      <w:r>
        <w:rPr/>
        <w:t>detalhado</w:t>
      </w:r>
      <w:r>
        <w:rPr>
          <w:spacing w:val="-9"/>
        </w:rPr>
        <w:t> </w:t>
      </w:r>
      <w:r>
        <w:rPr/>
        <w:t>na</w:t>
      </w:r>
      <w:r>
        <w:rPr>
          <w:spacing w:val="-11"/>
        </w:rPr>
        <w:t> </w:t>
      </w:r>
      <w:r>
        <w:rPr/>
        <w:t>nota </w:t>
      </w:r>
      <w:r>
        <w:rPr>
          <w:spacing w:val="-2"/>
        </w:rPr>
        <w:t>11.4.</w:t>
      </w:r>
    </w:p>
    <w:p>
      <w:pPr>
        <w:pStyle w:val="ListParagraph"/>
        <w:numPr>
          <w:ilvl w:val="1"/>
          <w:numId w:val="4"/>
        </w:numPr>
        <w:tabs>
          <w:tab w:pos="859" w:val="left" w:leader="none"/>
        </w:tabs>
        <w:spacing w:line="240" w:lineRule="auto" w:before="238" w:after="0"/>
        <w:ind w:left="859" w:right="0" w:hanging="709"/>
        <w:jc w:val="left"/>
        <w:rPr>
          <w:b/>
          <w:sz w:val="24"/>
        </w:rPr>
      </w:pPr>
      <w:r>
        <w:rPr>
          <w:b/>
          <w:sz w:val="24"/>
        </w:rPr>
        <w:t>Estimativas</w:t>
      </w:r>
      <w:r>
        <w:rPr>
          <w:b/>
          <w:spacing w:val="-7"/>
          <w:sz w:val="24"/>
        </w:rPr>
        <w:t> </w:t>
      </w:r>
      <w:r>
        <w:rPr>
          <w:b/>
          <w:sz w:val="24"/>
        </w:rPr>
        <w:t>relacionadas</w:t>
      </w:r>
      <w:r>
        <w:rPr>
          <w:b/>
          <w:spacing w:val="-5"/>
          <w:sz w:val="24"/>
        </w:rPr>
        <w:t> </w:t>
      </w:r>
      <w:r>
        <w:rPr>
          <w:b/>
          <w:sz w:val="24"/>
        </w:rPr>
        <w:t>a</w:t>
      </w:r>
      <w:r>
        <w:rPr>
          <w:b/>
          <w:spacing w:val="-4"/>
          <w:sz w:val="24"/>
        </w:rPr>
        <w:t> </w:t>
      </w:r>
      <w:r>
        <w:rPr>
          <w:b/>
          <w:sz w:val="24"/>
        </w:rPr>
        <w:t>processos</w:t>
      </w:r>
      <w:r>
        <w:rPr>
          <w:b/>
          <w:spacing w:val="-6"/>
          <w:sz w:val="24"/>
        </w:rPr>
        <w:t> </w:t>
      </w:r>
      <w:r>
        <w:rPr>
          <w:b/>
          <w:sz w:val="24"/>
        </w:rPr>
        <w:t>judiciais</w:t>
      </w:r>
      <w:r>
        <w:rPr>
          <w:b/>
          <w:spacing w:val="-6"/>
          <w:sz w:val="24"/>
        </w:rPr>
        <w:t> </w:t>
      </w:r>
      <w:r>
        <w:rPr>
          <w:b/>
          <w:sz w:val="24"/>
        </w:rPr>
        <w:t>e</w:t>
      </w:r>
      <w:r>
        <w:rPr>
          <w:b/>
          <w:spacing w:val="-11"/>
          <w:sz w:val="24"/>
        </w:rPr>
        <w:t> </w:t>
      </w:r>
      <w:r>
        <w:rPr>
          <w:b/>
          <w:spacing w:val="-2"/>
          <w:sz w:val="24"/>
        </w:rPr>
        <w:t>contingências</w:t>
      </w:r>
    </w:p>
    <w:p>
      <w:pPr>
        <w:pStyle w:val="BodyText"/>
        <w:spacing w:before="241"/>
        <w:ind w:left="151" w:right="355"/>
        <w:jc w:val="both"/>
      </w:pPr>
      <w:r>
        <w:rPr/>
        <w:t>A Companhia é parte envolvida em diversos processos judiciais e administrativos envolvendo questões cíveis, fiscais,</w:t>
      </w:r>
      <w:r>
        <w:rPr>
          <w:spacing w:val="-13"/>
        </w:rPr>
        <w:t> </w:t>
      </w:r>
      <w:r>
        <w:rPr/>
        <w:t>trabalhistas</w:t>
      </w:r>
      <w:r>
        <w:rPr>
          <w:spacing w:val="-12"/>
        </w:rPr>
        <w:t> </w:t>
      </w:r>
      <w:r>
        <w:rPr/>
        <w:t>e</w:t>
      </w:r>
      <w:r>
        <w:rPr>
          <w:spacing w:val="-13"/>
        </w:rPr>
        <w:t> </w:t>
      </w:r>
      <w:r>
        <w:rPr/>
        <w:t>ambientais</w:t>
      </w:r>
      <w:r>
        <w:rPr>
          <w:spacing w:val="-12"/>
        </w:rPr>
        <w:t> </w:t>
      </w:r>
      <w:r>
        <w:rPr/>
        <w:t>decorrentes</w:t>
      </w:r>
      <w:r>
        <w:rPr>
          <w:spacing w:val="-13"/>
        </w:rPr>
        <w:t> </w:t>
      </w:r>
      <w:r>
        <w:rPr/>
        <w:t>do</w:t>
      </w:r>
      <w:r>
        <w:rPr>
          <w:spacing w:val="-12"/>
        </w:rPr>
        <w:t> </w:t>
      </w:r>
      <w:r>
        <w:rPr/>
        <w:t>curso</w:t>
      </w:r>
      <w:r>
        <w:rPr>
          <w:spacing w:val="-13"/>
        </w:rPr>
        <w:t> </w:t>
      </w:r>
      <w:r>
        <w:rPr/>
        <w:t>normal</w:t>
      </w:r>
      <w:r>
        <w:rPr>
          <w:spacing w:val="-12"/>
        </w:rPr>
        <w:t> </w:t>
      </w:r>
      <w:r>
        <w:rPr/>
        <w:t>de</w:t>
      </w:r>
      <w:r>
        <w:rPr>
          <w:spacing w:val="-12"/>
        </w:rPr>
        <w:t> </w:t>
      </w:r>
      <w:r>
        <w:rPr/>
        <w:t>suas</w:t>
      </w:r>
      <w:r>
        <w:rPr>
          <w:spacing w:val="-13"/>
        </w:rPr>
        <w:t> </w:t>
      </w:r>
      <w:r>
        <w:rPr/>
        <w:t>operações,</w:t>
      </w:r>
      <w:r>
        <w:rPr>
          <w:spacing w:val="-12"/>
        </w:rPr>
        <w:t> </w:t>
      </w:r>
      <w:r>
        <w:rPr/>
        <w:t>cujas</w:t>
      </w:r>
      <w:r>
        <w:rPr>
          <w:spacing w:val="-10"/>
        </w:rPr>
        <w:t> </w:t>
      </w:r>
      <w:r>
        <w:rPr/>
        <w:t>estimativas</w:t>
      </w:r>
      <w:r>
        <w:rPr>
          <w:spacing w:val="-13"/>
        </w:rPr>
        <w:t> </w:t>
      </w:r>
      <w:r>
        <w:rPr/>
        <w:t>para</w:t>
      </w:r>
      <w:r>
        <w:rPr>
          <w:spacing w:val="-10"/>
        </w:rPr>
        <w:t> </w:t>
      </w:r>
      <w:r>
        <w:rPr/>
        <w:t>determinar os valores das obrigações e a probabilidade de saída de recursos são realizadas pela Companhia com base em pareceres de seus assessores jurídicos e nos julgamentos da Administração.</w:t>
      </w:r>
    </w:p>
    <w:p>
      <w:pPr>
        <w:spacing w:after="0"/>
        <w:jc w:val="both"/>
        <w:sectPr>
          <w:pgSz w:w="11910" w:h="16840"/>
          <w:pgMar w:header="637" w:footer="630" w:top="1800" w:bottom="820" w:left="700" w:right="480"/>
        </w:sectPr>
      </w:pPr>
    </w:p>
    <w:p>
      <w:pPr>
        <w:pStyle w:val="BodyText"/>
        <w:spacing w:before="17"/>
      </w:pPr>
    </w:p>
    <w:p>
      <w:pPr>
        <w:pStyle w:val="BodyText"/>
        <w:ind w:left="152" w:right="362" w:hanging="1"/>
        <w:jc w:val="both"/>
      </w:pPr>
      <w:r>
        <w:rPr/>
        <w:t>Essas estimativas são realizadas de forma individualizada ou por agrupamento de casos com teses semelhantes e essencialmente</w:t>
      </w:r>
      <w:r>
        <w:rPr>
          <w:spacing w:val="-3"/>
        </w:rPr>
        <w:t> </w:t>
      </w:r>
      <w:r>
        <w:rPr/>
        <w:t>levam</w:t>
      </w:r>
      <w:r>
        <w:rPr>
          <w:spacing w:val="-2"/>
        </w:rPr>
        <w:t> </w:t>
      </w:r>
      <w:r>
        <w:rPr/>
        <w:t>em</w:t>
      </w:r>
      <w:r>
        <w:rPr>
          <w:spacing w:val="-1"/>
        </w:rPr>
        <w:t> </w:t>
      </w:r>
      <w:r>
        <w:rPr/>
        <w:t>consideração fatores</w:t>
      </w:r>
      <w:r>
        <w:rPr>
          <w:spacing w:val="-1"/>
        </w:rPr>
        <w:t> </w:t>
      </w:r>
      <w:r>
        <w:rPr/>
        <w:t>como</w:t>
      </w:r>
      <w:r>
        <w:rPr>
          <w:spacing w:val="-1"/>
        </w:rPr>
        <w:t> </w:t>
      </w:r>
      <w:r>
        <w:rPr/>
        <w:t>a</w:t>
      </w:r>
      <w:r>
        <w:rPr>
          <w:spacing w:val="-1"/>
        </w:rPr>
        <w:t> </w:t>
      </w:r>
      <w:r>
        <w:rPr/>
        <w:t>análise</w:t>
      </w:r>
      <w:r>
        <w:rPr>
          <w:spacing w:val="-1"/>
        </w:rPr>
        <w:t> </w:t>
      </w:r>
      <w:r>
        <w:rPr/>
        <w:t>dos</w:t>
      </w:r>
      <w:r>
        <w:rPr>
          <w:spacing w:val="-1"/>
        </w:rPr>
        <w:t> </w:t>
      </w:r>
      <w:r>
        <w:rPr/>
        <w:t>pedidos</w:t>
      </w:r>
      <w:r>
        <w:rPr>
          <w:spacing w:val="-1"/>
        </w:rPr>
        <w:t> </w:t>
      </w:r>
      <w:r>
        <w:rPr/>
        <w:t>realizados</w:t>
      </w:r>
      <w:r>
        <w:rPr>
          <w:spacing w:val="-2"/>
        </w:rPr>
        <w:t> </w:t>
      </w:r>
      <w:r>
        <w:rPr/>
        <w:t>pelos</w:t>
      </w:r>
      <w:r>
        <w:rPr>
          <w:spacing w:val="-1"/>
        </w:rPr>
        <w:t> </w:t>
      </w:r>
      <w:r>
        <w:rPr/>
        <w:t>autores,</w:t>
      </w:r>
      <w:r>
        <w:rPr>
          <w:spacing w:val="-3"/>
        </w:rPr>
        <w:t> </w:t>
      </w:r>
      <w:r>
        <w:rPr/>
        <w:t>robustez</w:t>
      </w:r>
      <w:r>
        <w:rPr>
          <w:spacing w:val="-1"/>
        </w:rPr>
        <w:t> </w:t>
      </w:r>
      <w:r>
        <w:rPr/>
        <w:t>das provas existentes, precedentes jurisprudenciais de casos semelhantes e doutrina sobre o tema.</w:t>
      </w:r>
    </w:p>
    <w:p>
      <w:pPr>
        <w:pStyle w:val="BodyText"/>
        <w:spacing w:before="240"/>
        <w:ind w:left="151" w:right="356"/>
        <w:jc w:val="both"/>
      </w:pPr>
      <w:r>
        <w:rPr/>
        <w:t>Decisões arbitrais, judiciais e administrativas em ações contra a Companhia, nova jurisprudência, alterações no conjunto de provas existentes podem resultar na alteração na probabilidade de saída de recursos e suas mensurações mediante análise de seus fundamentos.</w:t>
      </w:r>
    </w:p>
    <w:p>
      <w:pPr>
        <w:pStyle w:val="BodyText"/>
        <w:spacing w:before="241"/>
        <w:ind w:left="152"/>
        <w:jc w:val="both"/>
      </w:pPr>
      <w:r>
        <w:rPr/>
        <w:t>Informações</w:t>
      </w:r>
      <w:r>
        <w:rPr>
          <w:spacing w:val="-8"/>
        </w:rPr>
        <w:t> </w:t>
      </w:r>
      <w:r>
        <w:rPr/>
        <w:t>sobre</w:t>
      </w:r>
      <w:r>
        <w:rPr>
          <w:spacing w:val="-9"/>
        </w:rPr>
        <w:t> </w:t>
      </w:r>
      <w:r>
        <w:rPr/>
        <w:t>processos</w:t>
      </w:r>
      <w:r>
        <w:rPr>
          <w:spacing w:val="-8"/>
        </w:rPr>
        <w:t> </w:t>
      </w:r>
      <w:r>
        <w:rPr/>
        <w:t>provisionados</w:t>
      </w:r>
      <w:r>
        <w:rPr>
          <w:spacing w:val="-8"/>
        </w:rPr>
        <w:t> </w:t>
      </w:r>
      <w:r>
        <w:rPr/>
        <w:t>e</w:t>
      </w:r>
      <w:r>
        <w:rPr>
          <w:spacing w:val="-9"/>
        </w:rPr>
        <w:t> </w:t>
      </w:r>
      <w:r>
        <w:rPr/>
        <w:t>contingências</w:t>
      </w:r>
      <w:r>
        <w:rPr>
          <w:spacing w:val="-8"/>
        </w:rPr>
        <w:t> </w:t>
      </w:r>
      <w:r>
        <w:rPr/>
        <w:t>são</w:t>
      </w:r>
      <w:r>
        <w:rPr>
          <w:spacing w:val="-8"/>
        </w:rPr>
        <w:t> </w:t>
      </w:r>
      <w:r>
        <w:rPr/>
        <w:t>apresentadas</w:t>
      </w:r>
      <w:r>
        <w:rPr>
          <w:spacing w:val="-7"/>
        </w:rPr>
        <w:t> </w:t>
      </w:r>
      <w:r>
        <w:rPr/>
        <w:t>na</w:t>
      </w:r>
      <w:r>
        <w:rPr>
          <w:spacing w:val="-9"/>
        </w:rPr>
        <w:t> </w:t>
      </w:r>
      <w:r>
        <w:rPr/>
        <w:t>nota</w:t>
      </w:r>
      <w:r>
        <w:rPr>
          <w:spacing w:val="-8"/>
        </w:rPr>
        <w:t> </w:t>
      </w:r>
      <w:r>
        <w:rPr/>
        <w:t>explicativa</w:t>
      </w:r>
      <w:r>
        <w:rPr>
          <w:spacing w:val="-8"/>
        </w:rPr>
        <w:t> </w:t>
      </w:r>
      <w:r>
        <w:rPr>
          <w:spacing w:val="-5"/>
        </w:rPr>
        <w:t>16.</w:t>
      </w:r>
    </w:p>
    <w:p>
      <w:pPr>
        <w:pStyle w:val="ListParagraph"/>
        <w:numPr>
          <w:ilvl w:val="1"/>
          <w:numId w:val="4"/>
        </w:numPr>
        <w:tabs>
          <w:tab w:pos="859" w:val="left" w:leader="none"/>
        </w:tabs>
        <w:spacing w:line="240" w:lineRule="auto" w:before="239" w:after="0"/>
        <w:ind w:left="859" w:right="0" w:hanging="709"/>
        <w:jc w:val="left"/>
        <w:rPr>
          <w:b/>
          <w:sz w:val="24"/>
        </w:rPr>
      </w:pPr>
      <w:r>
        <w:rPr>
          <w:b/>
          <w:sz w:val="24"/>
        </w:rPr>
        <w:t>Perdas</w:t>
      </w:r>
      <w:r>
        <w:rPr>
          <w:b/>
          <w:spacing w:val="-2"/>
          <w:sz w:val="24"/>
        </w:rPr>
        <w:t> </w:t>
      </w:r>
      <w:r>
        <w:rPr>
          <w:b/>
          <w:sz w:val="24"/>
        </w:rPr>
        <w:t>de créditos</w:t>
      </w:r>
      <w:r>
        <w:rPr>
          <w:b/>
          <w:spacing w:val="-5"/>
          <w:sz w:val="24"/>
        </w:rPr>
        <w:t> </w:t>
      </w:r>
      <w:r>
        <w:rPr>
          <w:b/>
          <w:spacing w:val="-2"/>
          <w:sz w:val="24"/>
        </w:rPr>
        <w:t>esperadas</w:t>
      </w:r>
    </w:p>
    <w:p>
      <w:pPr>
        <w:pStyle w:val="BodyText"/>
        <w:spacing w:before="241"/>
        <w:ind w:left="151" w:right="357"/>
        <w:jc w:val="both"/>
      </w:pPr>
      <w:r>
        <w:rPr/>
        <w:t>A</w:t>
      </w:r>
      <w:r>
        <w:rPr>
          <w:spacing w:val="-8"/>
        </w:rPr>
        <w:t> </w:t>
      </w:r>
      <w:r>
        <w:rPr/>
        <w:t>provisão</w:t>
      </w:r>
      <w:r>
        <w:rPr>
          <w:spacing w:val="-7"/>
        </w:rPr>
        <w:t> </w:t>
      </w:r>
      <w:r>
        <w:rPr/>
        <w:t>de</w:t>
      </w:r>
      <w:r>
        <w:rPr>
          <w:spacing w:val="-6"/>
        </w:rPr>
        <w:t> </w:t>
      </w:r>
      <w:r>
        <w:rPr/>
        <w:t>perdas</w:t>
      </w:r>
      <w:r>
        <w:rPr>
          <w:spacing w:val="-7"/>
        </w:rPr>
        <w:t> </w:t>
      </w:r>
      <w:r>
        <w:rPr/>
        <w:t>de</w:t>
      </w:r>
      <w:r>
        <w:rPr>
          <w:spacing w:val="-8"/>
        </w:rPr>
        <w:t> </w:t>
      </w:r>
      <w:r>
        <w:rPr/>
        <w:t>crédito</w:t>
      </w:r>
      <w:r>
        <w:rPr>
          <w:spacing w:val="-3"/>
        </w:rPr>
        <w:t> </w:t>
      </w:r>
      <w:r>
        <w:rPr/>
        <w:t>esperadas</w:t>
      </w:r>
      <w:r>
        <w:rPr>
          <w:spacing w:val="-10"/>
        </w:rPr>
        <w:t> </w:t>
      </w:r>
      <w:r>
        <w:rPr/>
        <w:t>(PCE)</w:t>
      </w:r>
      <w:r>
        <w:rPr>
          <w:spacing w:val="-5"/>
        </w:rPr>
        <w:t> </w:t>
      </w:r>
      <w:r>
        <w:rPr/>
        <w:t>para</w:t>
      </w:r>
      <w:r>
        <w:rPr>
          <w:spacing w:val="-10"/>
        </w:rPr>
        <w:t> </w:t>
      </w:r>
      <w:r>
        <w:rPr/>
        <w:t>ativos</w:t>
      </w:r>
      <w:r>
        <w:rPr>
          <w:spacing w:val="-6"/>
        </w:rPr>
        <w:t> </w:t>
      </w:r>
      <w:r>
        <w:rPr/>
        <w:t>financeiros</w:t>
      </w:r>
      <w:r>
        <w:rPr>
          <w:spacing w:val="-8"/>
        </w:rPr>
        <w:t> </w:t>
      </w:r>
      <w:r>
        <w:rPr/>
        <w:t>se</w:t>
      </w:r>
      <w:r>
        <w:rPr>
          <w:spacing w:val="-7"/>
        </w:rPr>
        <w:t> </w:t>
      </w:r>
      <w:r>
        <w:rPr/>
        <w:t>baseia</w:t>
      </w:r>
      <w:r>
        <w:rPr>
          <w:spacing w:val="-9"/>
        </w:rPr>
        <w:t> </w:t>
      </w:r>
      <w:r>
        <w:rPr/>
        <w:t>em</w:t>
      </w:r>
      <w:r>
        <w:rPr>
          <w:spacing w:val="-4"/>
        </w:rPr>
        <w:t> </w:t>
      </w:r>
      <w:r>
        <w:rPr/>
        <w:t>premissas</w:t>
      </w:r>
      <w:r>
        <w:rPr>
          <w:spacing w:val="-6"/>
        </w:rPr>
        <w:t> </w:t>
      </w:r>
      <w:r>
        <w:rPr/>
        <w:t>de</w:t>
      </w:r>
      <w:r>
        <w:rPr>
          <w:spacing w:val="-7"/>
        </w:rPr>
        <w:t> </w:t>
      </w:r>
      <w:r>
        <w:rPr/>
        <w:t>risco</w:t>
      </w:r>
      <w:r>
        <w:rPr>
          <w:spacing w:val="-3"/>
        </w:rPr>
        <w:t> </w:t>
      </w:r>
      <w:r>
        <w:rPr/>
        <w:t>de</w:t>
      </w:r>
      <w:r>
        <w:rPr>
          <w:spacing w:val="-8"/>
        </w:rPr>
        <w:t> </w:t>
      </w:r>
      <w:r>
        <w:rPr/>
        <w:t>default, determinação</w:t>
      </w:r>
      <w:r>
        <w:rPr>
          <w:spacing w:val="-14"/>
        </w:rPr>
        <w:t> </w:t>
      </w:r>
      <w:r>
        <w:rPr/>
        <w:t>da</w:t>
      </w:r>
      <w:r>
        <w:rPr>
          <w:spacing w:val="-16"/>
        </w:rPr>
        <w:t> </w:t>
      </w:r>
      <w:r>
        <w:rPr/>
        <w:t>ocorrência</w:t>
      </w:r>
      <w:r>
        <w:rPr>
          <w:spacing w:val="-15"/>
        </w:rPr>
        <w:t> </w:t>
      </w:r>
      <w:r>
        <w:rPr/>
        <w:t>ou</w:t>
      </w:r>
      <w:r>
        <w:rPr>
          <w:spacing w:val="-14"/>
        </w:rPr>
        <w:t> </w:t>
      </w:r>
      <w:r>
        <w:rPr/>
        <w:t>não</w:t>
      </w:r>
      <w:r>
        <w:rPr>
          <w:spacing w:val="-14"/>
        </w:rPr>
        <w:t> </w:t>
      </w:r>
      <w:r>
        <w:rPr/>
        <w:t>de</w:t>
      </w:r>
      <w:r>
        <w:rPr>
          <w:spacing w:val="-12"/>
        </w:rPr>
        <w:t> </w:t>
      </w:r>
      <w:r>
        <w:rPr/>
        <w:t>aumento</w:t>
      </w:r>
      <w:r>
        <w:rPr>
          <w:spacing w:val="-14"/>
        </w:rPr>
        <w:t> </w:t>
      </w:r>
      <w:r>
        <w:rPr/>
        <w:t>significativo</w:t>
      </w:r>
      <w:r>
        <w:rPr>
          <w:spacing w:val="-11"/>
        </w:rPr>
        <w:t> </w:t>
      </w:r>
      <w:r>
        <w:rPr/>
        <w:t>no</w:t>
      </w:r>
      <w:r>
        <w:rPr>
          <w:spacing w:val="-14"/>
        </w:rPr>
        <w:t> </w:t>
      </w:r>
      <w:r>
        <w:rPr/>
        <w:t>risco</w:t>
      </w:r>
      <w:r>
        <w:rPr>
          <w:spacing w:val="-16"/>
        </w:rPr>
        <w:t> </w:t>
      </w:r>
      <w:r>
        <w:rPr/>
        <w:t>de</w:t>
      </w:r>
      <w:r>
        <w:rPr>
          <w:spacing w:val="-12"/>
        </w:rPr>
        <w:t> </w:t>
      </w:r>
      <w:r>
        <w:rPr/>
        <w:t>crédito,</w:t>
      </w:r>
      <w:r>
        <w:rPr>
          <w:spacing w:val="-15"/>
        </w:rPr>
        <w:t> </w:t>
      </w:r>
      <w:r>
        <w:rPr/>
        <w:t>fator</w:t>
      </w:r>
      <w:r>
        <w:rPr>
          <w:spacing w:val="-15"/>
        </w:rPr>
        <w:t> </w:t>
      </w:r>
      <w:r>
        <w:rPr/>
        <w:t>de</w:t>
      </w:r>
      <w:r>
        <w:rPr>
          <w:spacing w:val="-12"/>
        </w:rPr>
        <w:t> </w:t>
      </w:r>
      <w:r>
        <w:rPr/>
        <w:t>recuperação,</w:t>
      </w:r>
      <w:r>
        <w:rPr>
          <w:spacing w:val="-18"/>
        </w:rPr>
        <w:t> </w:t>
      </w:r>
      <w:r>
        <w:rPr/>
        <w:t>entre</w:t>
      </w:r>
      <w:r>
        <w:rPr>
          <w:spacing w:val="-18"/>
        </w:rPr>
        <w:t> </w:t>
      </w:r>
      <w:r>
        <w:rPr/>
        <w:t>outras.</w:t>
      </w:r>
    </w:p>
    <w:p>
      <w:pPr>
        <w:pStyle w:val="BodyText"/>
        <w:spacing w:before="241"/>
        <w:ind w:left="151" w:right="359"/>
        <w:jc w:val="both"/>
      </w:pPr>
      <w:r>
        <w:rPr/>
        <w:t>Para tal, a companhia utiliza julgamentos nessas premissas, além de informações sobre atrasos nos pagamentos e avaliações do instrumento financeiro com base em classificações externas de riscos e metodologias internas de </w:t>
      </w:r>
      <w:r>
        <w:rPr>
          <w:spacing w:val="-2"/>
        </w:rPr>
        <w:t>avaliação.</w:t>
      </w:r>
    </w:p>
    <w:p>
      <w:pPr>
        <w:pStyle w:val="BodyText"/>
        <w:spacing w:before="211"/>
      </w:pPr>
    </w:p>
    <w:p>
      <w:pPr>
        <w:pStyle w:val="Heading3"/>
        <w:numPr>
          <w:ilvl w:val="0"/>
          <w:numId w:val="4"/>
        </w:numPr>
        <w:tabs>
          <w:tab w:pos="718" w:val="left" w:leader="none"/>
        </w:tabs>
        <w:spacing w:line="240" w:lineRule="auto" w:before="1" w:after="0"/>
        <w:ind w:left="718" w:right="0" w:hanging="568"/>
        <w:jc w:val="left"/>
      </w:pPr>
      <w:bookmarkStart w:name="_TOC_250011" w:id="14"/>
      <w:r>
        <w:rPr/>
        <w:t>Novas</w:t>
      </w:r>
      <w:r>
        <w:rPr>
          <w:spacing w:val="-3"/>
        </w:rPr>
        <w:t> </w:t>
      </w:r>
      <w:r>
        <w:rPr/>
        <w:t>normas</w:t>
      </w:r>
      <w:r>
        <w:rPr>
          <w:spacing w:val="-2"/>
        </w:rPr>
        <w:t> </w:t>
      </w:r>
      <w:r>
        <w:rPr/>
        <w:t>e</w:t>
      </w:r>
      <w:r>
        <w:rPr>
          <w:spacing w:val="-9"/>
        </w:rPr>
        <w:t> </w:t>
      </w:r>
      <w:bookmarkEnd w:id="14"/>
      <w:r>
        <w:rPr>
          <w:spacing w:val="-2"/>
        </w:rPr>
        <w:t>interpretações</w:t>
      </w:r>
    </w:p>
    <w:p>
      <w:pPr>
        <w:pStyle w:val="ListParagraph"/>
        <w:numPr>
          <w:ilvl w:val="1"/>
          <w:numId w:val="4"/>
        </w:numPr>
        <w:tabs>
          <w:tab w:pos="718" w:val="left" w:leader="none"/>
        </w:tabs>
        <w:spacing w:line="240" w:lineRule="auto" w:before="239" w:after="0"/>
        <w:ind w:left="718" w:right="0" w:hanging="568"/>
        <w:jc w:val="left"/>
        <w:rPr>
          <w:b/>
          <w:sz w:val="24"/>
        </w:rPr>
      </w:pPr>
      <w:r>
        <w:rPr>
          <w:b/>
          <w:sz w:val="24"/>
        </w:rPr>
        <w:t>International</w:t>
      </w:r>
      <w:r>
        <w:rPr>
          <w:b/>
          <w:spacing w:val="-5"/>
          <w:sz w:val="24"/>
        </w:rPr>
        <w:t> </w:t>
      </w:r>
      <w:r>
        <w:rPr>
          <w:b/>
          <w:sz w:val="24"/>
        </w:rPr>
        <w:t>Accounting</w:t>
      </w:r>
      <w:r>
        <w:rPr>
          <w:b/>
          <w:spacing w:val="-2"/>
          <w:sz w:val="24"/>
        </w:rPr>
        <w:t> </w:t>
      </w:r>
      <w:r>
        <w:rPr>
          <w:b/>
          <w:sz w:val="24"/>
        </w:rPr>
        <w:t>Standards</w:t>
      </w:r>
      <w:r>
        <w:rPr>
          <w:b/>
          <w:spacing w:val="-3"/>
          <w:sz w:val="24"/>
        </w:rPr>
        <w:t> </w:t>
      </w:r>
      <w:r>
        <w:rPr>
          <w:b/>
          <w:sz w:val="24"/>
        </w:rPr>
        <w:t>Board</w:t>
      </w:r>
      <w:r>
        <w:rPr>
          <w:b/>
          <w:spacing w:val="-6"/>
          <w:sz w:val="24"/>
        </w:rPr>
        <w:t> </w:t>
      </w:r>
      <w:r>
        <w:rPr>
          <w:b/>
          <w:spacing w:val="-2"/>
          <w:sz w:val="24"/>
        </w:rPr>
        <w:t>(IASB)</w:t>
      </w:r>
    </w:p>
    <w:p>
      <w:pPr>
        <w:pStyle w:val="BodyText"/>
        <w:spacing w:before="241"/>
        <w:ind w:left="152" w:right="360" w:hanging="1"/>
        <w:jc w:val="both"/>
      </w:pPr>
      <w:r>
        <w:rPr/>
        <w:t>A</w:t>
      </w:r>
      <w:r>
        <w:rPr>
          <w:spacing w:val="-1"/>
        </w:rPr>
        <w:t> </w:t>
      </w:r>
      <w:r>
        <w:rPr/>
        <w:t>companhia</w:t>
      </w:r>
      <w:r>
        <w:rPr>
          <w:spacing w:val="-1"/>
        </w:rPr>
        <w:t> </w:t>
      </w:r>
      <w:r>
        <w:rPr/>
        <w:t>é</w:t>
      </w:r>
      <w:r>
        <w:rPr>
          <w:spacing w:val="-2"/>
        </w:rPr>
        <w:t> </w:t>
      </w:r>
      <w:r>
        <w:rPr/>
        <w:t>regida</w:t>
      </w:r>
      <w:r>
        <w:rPr>
          <w:spacing w:val="-1"/>
        </w:rPr>
        <w:t> </w:t>
      </w:r>
      <w:r>
        <w:rPr/>
        <w:t>pelos</w:t>
      </w:r>
      <w:r>
        <w:rPr>
          <w:spacing w:val="-1"/>
        </w:rPr>
        <w:t> </w:t>
      </w:r>
      <w:r>
        <w:rPr/>
        <w:t>regramentos publicados pelo</w:t>
      </w:r>
      <w:r>
        <w:rPr>
          <w:spacing w:val="-1"/>
        </w:rPr>
        <w:t> </w:t>
      </w:r>
      <w:r>
        <w:rPr/>
        <w:t>Comitê</w:t>
      </w:r>
      <w:r>
        <w:rPr>
          <w:spacing w:val="-1"/>
        </w:rPr>
        <w:t> </w:t>
      </w:r>
      <w:r>
        <w:rPr/>
        <w:t>de</w:t>
      </w:r>
      <w:r>
        <w:rPr>
          <w:spacing w:val="-2"/>
        </w:rPr>
        <w:t> </w:t>
      </w:r>
      <w:r>
        <w:rPr/>
        <w:t>Pronunciamentos</w:t>
      </w:r>
      <w:r>
        <w:rPr>
          <w:spacing w:val="-1"/>
        </w:rPr>
        <w:t> </w:t>
      </w:r>
      <w:r>
        <w:rPr/>
        <w:t>Contábeis</w:t>
      </w:r>
      <w:r>
        <w:rPr>
          <w:spacing w:val="-1"/>
        </w:rPr>
        <w:t> </w:t>
      </w:r>
      <w:r>
        <w:rPr/>
        <w:t>‐</w:t>
      </w:r>
      <w:r>
        <w:rPr>
          <w:spacing w:val="-2"/>
        </w:rPr>
        <w:t> </w:t>
      </w:r>
      <w:r>
        <w:rPr/>
        <w:t>CPC,</w:t>
      </w:r>
      <w:r>
        <w:rPr>
          <w:spacing w:val="-2"/>
        </w:rPr>
        <w:t> </w:t>
      </w:r>
      <w:r>
        <w:rPr/>
        <w:t>que</w:t>
      </w:r>
      <w:r>
        <w:rPr>
          <w:spacing w:val="-2"/>
        </w:rPr>
        <w:t> </w:t>
      </w:r>
      <w:r>
        <w:rPr/>
        <w:t>emite pronunciamentos,</w:t>
      </w:r>
      <w:r>
        <w:rPr>
          <w:spacing w:val="-3"/>
        </w:rPr>
        <w:t> </w:t>
      </w:r>
      <w:r>
        <w:rPr/>
        <w:t>revisões</w:t>
      </w:r>
      <w:r>
        <w:rPr>
          <w:spacing w:val="-2"/>
        </w:rPr>
        <w:t> </w:t>
      </w:r>
      <w:r>
        <w:rPr/>
        <w:t>de</w:t>
      </w:r>
      <w:r>
        <w:rPr>
          <w:spacing w:val="-2"/>
        </w:rPr>
        <w:t> </w:t>
      </w:r>
      <w:r>
        <w:rPr/>
        <w:t>pronunciamentos e</w:t>
      </w:r>
      <w:r>
        <w:rPr>
          <w:spacing w:val="-3"/>
        </w:rPr>
        <w:t> </w:t>
      </w:r>
      <w:r>
        <w:rPr/>
        <w:t>interpretações análogos</w:t>
      </w:r>
      <w:r>
        <w:rPr>
          <w:spacing w:val="-2"/>
        </w:rPr>
        <w:t> </w:t>
      </w:r>
      <w:r>
        <w:rPr/>
        <w:t>às</w:t>
      </w:r>
      <w:r>
        <w:rPr>
          <w:spacing w:val="-2"/>
        </w:rPr>
        <w:t> </w:t>
      </w:r>
      <w:r>
        <w:rPr/>
        <w:t>IFRS,</w:t>
      </w:r>
      <w:r>
        <w:rPr>
          <w:spacing w:val="-1"/>
        </w:rPr>
        <w:t> </w:t>
      </w:r>
      <w:r>
        <w:rPr/>
        <w:t>tal</w:t>
      </w:r>
      <w:r>
        <w:rPr>
          <w:spacing w:val="-1"/>
        </w:rPr>
        <w:t> </w:t>
      </w:r>
      <w:r>
        <w:rPr/>
        <w:t>como</w:t>
      </w:r>
      <w:r>
        <w:rPr>
          <w:spacing w:val="-1"/>
        </w:rPr>
        <w:t> </w:t>
      </w:r>
      <w:r>
        <w:rPr/>
        <w:t>emitidas</w:t>
      </w:r>
      <w:r>
        <w:rPr>
          <w:spacing w:val="-1"/>
        </w:rPr>
        <w:t> </w:t>
      </w:r>
      <w:r>
        <w:rPr/>
        <w:t>pelo</w:t>
      </w:r>
      <w:r>
        <w:rPr>
          <w:spacing w:val="-2"/>
        </w:rPr>
        <w:t> </w:t>
      </w:r>
      <w:r>
        <w:rPr/>
        <w:t>IASB.</w:t>
      </w:r>
      <w:r>
        <w:rPr>
          <w:spacing w:val="-1"/>
        </w:rPr>
        <w:t> </w:t>
      </w:r>
      <w:r>
        <w:rPr/>
        <w:t>A seguir são apresentados os principais normativos contábeis emitidos pelo IASB, e que não entraram em vigor até 31 de dezembro de 2022.</w:t>
      </w:r>
    </w:p>
    <w:p>
      <w:pPr>
        <w:spacing w:after="0"/>
        <w:jc w:val="both"/>
        <w:sectPr>
          <w:pgSz w:w="11910" w:h="16840"/>
          <w:pgMar w:header="637" w:footer="630" w:top="1800" w:bottom="820" w:left="700" w:right="480"/>
        </w:sectPr>
      </w:pPr>
    </w:p>
    <w:p>
      <w:pPr>
        <w:pStyle w:val="BodyText"/>
        <w:spacing w:before="232"/>
        <w:rPr>
          <w:sz w:val="20"/>
        </w:rPr>
      </w:pPr>
    </w:p>
    <w:p>
      <w:pPr>
        <w:spacing w:after="0"/>
        <w:rPr>
          <w:sz w:val="20"/>
        </w:rPr>
        <w:sectPr>
          <w:pgSz w:w="11910" w:h="16840"/>
          <w:pgMar w:header="637" w:footer="630" w:top="1800" w:bottom="820" w:left="700" w:right="480"/>
        </w:sectPr>
      </w:pPr>
    </w:p>
    <w:p>
      <w:pPr>
        <w:pStyle w:val="BodyText"/>
        <w:rPr>
          <w:sz w:val="18"/>
        </w:rPr>
      </w:pPr>
    </w:p>
    <w:p>
      <w:pPr>
        <w:pStyle w:val="BodyText"/>
        <w:spacing w:before="50"/>
        <w:rPr>
          <w:sz w:val="18"/>
        </w:rPr>
      </w:pPr>
    </w:p>
    <w:p>
      <w:pPr>
        <w:tabs>
          <w:tab w:pos="2939" w:val="left" w:leader="none"/>
        </w:tabs>
        <w:spacing w:before="0"/>
        <w:ind w:left="419" w:right="0" w:firstLine="0"/>
        <w:jc w:val="left"/>
        <w:rPr>
          <w:b/>
          <w:sz w:val="18"/>
        </w:rPr>
      </w:pPr>
      <w:r>
        <w:rPr>
          <w:b/>
          <w:spacing w:val="-2"/>
          <w:sz w:val="18"/>
        </w:rPr>
        <w:t>Norma</w:t>
      </w:r>
      <w:r>
        <w:rPr>
          <w:b/>
          <w:sz w:val="18"/>
        </w:rPr>
        <w:tab/>
      </w:r>
      <w:r>
        <w:rPr>
          <w:b/>
          <w:spacing w:val="-2"/>
          <w:sz w:val="18"/>
        </w:rPr>
        <w:t>Descrição</w:t>
      </w:r>
    </w:p>
    <w:p>
      <w:pPr>
        <w:spacing w:before="128"/>
        <w:ind w:left="2939" w:right="0" w:firstLine="0"/>
        <w:jc w:val="left"/>
        <w:rPr>
          <w:sz w:val="16"/>
        </w:rPr>
      </w:pPr>
      <w:r>
        <w:rPr>
          <w:sz w:val="16"/>
        </w:rPr>
        <w:t>O</w:t>
      </w:r>
      <w:r>
        <w:rPr>
          <w:spacing w:val="24"/>
          <w:sz w:val="16"/>
        </w:rPr>
        <w:t> </w:t>
      </w:r>
      <w:r>
        <w:rPr>
          <w:sz w:val="16"/>
        </w:rPr>
        <w:t>IFRS</w:t>
      </w:r>
      <w:r>
        <w:rPr>
          <w:spacing w:val="25"/>
          <w:sz w:val="16"/>
        </w:rPr>
        <w:t> </w:t>
      </w:r>
      <w:r>
        <w:rPr>
          <w:sz w:val="16"/>
        </w:rPr>
        <w:t>17</w:t>
      </w:r>
      <w:r>
        <w:rPr>
          <w:spacing w:val="23"/>
          <w:sz w:val="16"/>
        </w:rPr>
        <w:t> </w:t>
      </w:r>
      <w:r>
        <w:rPr>
          <w:sz w:val="16"/>
        </w:rPr>
        <w:t>substitui</w:t>
      </w:r>
      <w:r>
        <w:rPr>
          <w:spacing w:val="25"/>
          <w:sz w:val="16"/>
        </w:rPr>
        <w:t> </w:t>
      </w:r>
      <w:r>
        <w:rPr>
          <w:sz w:val="16"/>
        </w:rPr>
        <w:t>o</w:t>
      </w:r>
      <w:r>
        <w:rPr>
          <w:spacing w:val="25"/>
          <w:sz w:val="16"/>
        </w:rPr>
        <w:t> </w:t>
      </w:r>
      <w:r>
        <w:rPr>
          <w:sz w:val="16"/>
        </w:rPr>
        <w:t>IFRS</w:t>
      </w:r>
      <w:r>
        <w:rPr>
          <w:spacing w:val="25"/>
          <w:sz w:val="16"/>
        </w:rPr>
        <w:t> </w:t>
      </w:r>
      <w:r>
        <w:rPr>
          <w:sz w:val="16"/>
        </w:rPr>
        <w:t>4</w:t>
      </w:r>
      <w:r>
        <w:rPr>
          <w:spacing w:val="23"/>
          <w:sz w:val="16"/>
        </w:rPr>
        <w:t> </w:t>
      </w:r>
      <w:r>
        <w:rPr>
          <w:sz w:val="16"/>
        </w:rPr>
        <w:t>‐</w:t>
      </w:r>
      <w:r>
        <w:rPr>
          <w:spacing w:val="24"/>
          <w:sz w:val="16"/>
        </w:rPr>
        <w:t> </w:t>
      </w:r>
      <w:r>
        <w:rPr>
          <w:sz w:val="16"/>
        </w:rPr>
        <w:t>Insurance</w:t>
      </w:r>
      <w:r>
        <w:rPr>
          <w:spacing w:val="25"/>
          <w:sz w:val="16"/>
        </w:rPr>
        <w:t> </w:t>
      </w:r>
      <w:r>
        <w:rPr>
          <w:sz w:val="16"/>
        </w:rPr>
        <w:t>Contracts</w:t>
      </w:r>
      <w:r>
        <w:rPr>
          <w:spacing w:val="25"/>
          <w:sz w:val="16"/>
        </w:rPr>
        <w:t> </w:t>
      </w:r>
      <w:r>
        <w:rPr>
          <w:sz w:val="16"/>
        </w:rPr>
        <w:t>e</w:t>
      </w:r>
      <w:r>
        <w:rPr>
          <w:spacing w:val="25"/>
          <w:sz w:val="16"/>
        </w:rPr>
        <w:t> </w:t>
      </w:r>
      <w:r>
        <w:rPr>
          <w:sz w:val="16"/>
        </w:rPr>
        <w:t>estabelece,</w:t>
      </w:r>
      <w:r>
        <w:rPr>
          <w:spacing w:val="23"/>
          <w:sz w:val="16"/>
        </w:rPr>
        <w:t> </w:t>
      </w:r>
      <w:r>
        <w:rPr>
          <w:sz w:val="16"/>
        </w:rPr>
        <w:t>entre</w:t>
      </w:r>
      <w:r>
        <w:rPr>
          <w:spacing w:val="24"/>
          <w:sz w:val="16"/>
        </w:rPr>
        <w:t> </w:t>
      </w:r>
      <w:r>
        <w:rPr>
          <w:sz w:val="16"/>
        </w:rPr>
        <w:t>outras</w:t>
      </w:r>
      <w:r>
        <w:rPr>
          <w:spacing w:val="25"/>
          <w:sz w:val="16"/>
        </w:rPr>
        <w:t> </w:t>
      </w:r>
      <w:r>
        <w:rPr>
          <w:sz w:val="16"/>
        </w:rPr>
        <w:t>coisas,</w:t>
      </w:r>
      <w:r>
        <w:rPr>
          <w:spacing w:val="24"/>
          <w:sz w:val="16"/>
        </w:rPr>
        <w:t> </w:t>
      </w:r>
      <w:r>
        <w:rPr>
          <w:spacing w:val="-5"/>
          <w:sz w:val="16"/>
        </w:rPr>
        <w:t>os</w:t>
      </w:r>
    </w:p>
    <w:p>
      <w:pPr>
        <w:spacing w:line="232" w:lineRule="auto" w:before="69"/>
        <w:ind w:left="218" w:right="258" w:firstLine="0"/>
        <w:jc w:val="left"/>
        <w:rPr>
          <w:b/>
          <w:sz w:val="18"/>
        </w:rPr>
      </w:pPr>
      <w:r>
        <w:rPr/>
        <w:br w:type="column"/>
      </w:r>
      <w:r>
        <w:rPr>
          <w:b/>
          <w:sz w:val="18"/>
        </w:rPr>
        <w:t>Data</w:t>
      </w:r>
      <w:r>
        <w:rPr>
          <w:b/>
          <w:spacing w:val="-11"/>
          <w:sz w:val="18"/>
        </w:rPr>
        <w:t> </w:t>
      </w:r>
      <w:r>
        <w:rPr>
          <w:b/>
          <w:sz w:val="18"/>
        </w:rPr>
        <w:t>de</w:t>
      </w:r>
      <w:r>
        <w:rPr>
          <w:b/>
          <w:spacing w:val="-10"/>
          <w:sz w:val="18"/>
        </w:rPr>
        <w:t> </w:t>
      </w:r>
      <w:r>
        <w:rPr>
          <w:b/>
          <w:sz w:val="18"/>
        </w:rPr>
        <w:t>vigência e disposição </w:t>
      </w:r>
      <w:r>
        <w:rPr>
          <w:b/>
          <w:spacing w:val="-2"/>
          <w:sz w:val="18"/>
        </w:rPr>
        <w:t>transitória</w:t>
      </w:r>
    </w:p>
    <w:p>
      <w:pPr>
        <w:pStyle w:val="BodyText"/>
        <w:spacing w:before="8"/>
        <w:rPr>
          <w:b/>
          <w:sz w:val="18"/>
        </w:rPr>
      </w:pPr>
    </w:p>
    <w:p>
      <w:pPr>
        <w:spacing w:line="127" w:lineRule="exact" w:before="0"/>
        <w:ind w:left="218" w:right="0" w:firstLine="0"/>
        <w:jc w:val="left"/>
        <w:rPr>
          <w:sz w:val="16"/>
        </w:rPr>
      </w:pPr>
      <w:r>
        <w:rPr/>
        <mc:AlternateContent>
          <mc:Choice Requires="wps">
            <w:drawing>
              <wp:anchor distT="0" distB="0" distL="0" distR="0" allowOverlap="1" layoutInCell="1" locked="0" behindDoc="1" simplePos="0" relativeHeight="485600256">
                <wp:simplePos x="0" y="0"/>
                <wp:positionH relativeFrom="page">
                  <wp:posOffset>668273</wp:posOffset>
                </wp:positionH>
                <wp:positionV relativeFrom="paragraph">
                  <wp:posOffset>-717722</wp:posOffset>
                </wp:positionV>
                <wp:extent cx="6433820" cy="588010"/>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6433820" cy="588010"/>
                          <a:chExt cx="6433820" cy="588010"/>
                        </a:xfrm>
                      </wpg:grpSpPr>
                      <wps:wsp>
                        <wps:cNvPr id="61" name="Graphic 61"/>
                        <wps:cNvSpPr/>
                        <wps:spPr>
                          <a:xfrm>
                            <a:off x="0" y="0"/>
                            <a:ext cx="6433820" cy="581660"/>
                          </a:xfrm>
                          <a:custGeom>
                            <a:avLst/>
                            <a:gdLst/>
                            <a:ahLst/>
                            <a:cxnLst/>
                            <a:rect l="l" t="t" r="r" b="b"/>
                            <a:pathLst>
                              <a:path w="6433820" h="581660">
                                <a:moveTo>
                                  <a:pt x="6433566" y="0"/>
                                </a:moveTo>
                                <a:lnTo>
                                  <a:pt x="5530596" y="0"/>
                                </a:lnTo>
                                <a:lnTo>
                                  <a:pt x="1552194" y="0"/>
                                </a:lnTo>
                                <a:lnTo>
                                  <a:pt x="0" y="0"/>
                                </a:lnTo>
                                <a:lnTo>
                                  <a:pt x="0" y="581406"/>
                                </a:lnTo>
                                <a:lnTo>
                                  <a:pt x="1552194" y="581406"/>
                                </a:lnTo>
                                <a:lnTo>
                                  <a:pt x="5530596" y="581406"/>
                                </a:lnTo>
                                <a:lnTo>
                                  <a:pt x="6433566" y="581406"/>
                                </a:lnTo>
                                <a:lnTo>
                                  <a:pt x="6433566" y="0"/>
                                </a:lnTo>
                                <a:close/>
                              </a:path>
                            </a:pathLst>
                          </a:custGeom>
                          <a:solidFill>
                            <a:srgbClr val="D9D9D9"/>
                          </a:solidFill>
                        </wps:spPr>
                        <wps:bodyPr wrap="square" lIns="0" tIns="0" rIns="0" bIns="0" rtlCol="0">
                          <a:prstTxWarp prst="textNoShape">
                            <a:avLst/>
                          </a:prstTxWarp>
                          <a:noAutofit/>
                        </wps:bodyPr>
                      </wps:wsp>
                      <wps:wsp>
                        <wps:cNvPr id="62" name="Graphic 62"/>
                        <wps:cNvSpPr/>
                        <wps:spPr>
                          <a:xfrm>
                            <a:off x="761" y="581405"/>
                            <a:ext cx="6433185" cy="6350"/>
                          </a:xfrm>
                          <a:custGeom>
                            <a:avLst/>
                            <a:gdLst/>
                            <a:ahLst/>
                            <a:cxnLst/>
                            <a:rect l="l" t="t" r="r" b="b"/>
                            <a:pathLst>
                              <a:path w="6433185" h="6350">
                                <a:moveTo>
                                  <a:pt x="6432803" y="0"/>
                                </a:moveTo>
                                <a:lnTo>
                                  <a:pt x="0" y="0"/>
                                </a:lnTo>
                                <a:lnTo>
                                  <a:pt x="0" y="6096"/>
                                </a:lnTo>
                                <a:lnTo>
                                  <a:pt x="6432803" y="6096"/>
                                </a:lnTo>
                                <a:lnTo>
                                  <a:pt x="643280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2.619999pt;margin-top:-56.513573pt;width:506.6pt;height:46.3pt;mso-position-horizontal-relative:page;mso-position-vertical-relative:paragraph;z-index:-17716224" id="docshapegroup45" coordorigin="1052,-1130" coordsize="10132,926">
                <v:shape style="position:absolute;left:1052;top:-1131;width:10132;height:916" id="docshape46" coordorigin="1052,-1130" coordsize="10132,916" path="m11184,-1130l9762,-1130,3497,-1130,1052,-1130,1052,-215,3497,-215,9762,-215,11184,-215,11184,-1130xe" filled="true" fillcolor="#d9d9d9" stroked="false">
                  <v:path arrowok="t"/>
                  <v:fill type="solid"/>
                </v:shape>
                <v:rect style="position:absolute;left:1053;top:-215;width:10131;height:10" id="docshape47" filled="true" fillcolor="#000000" stroked="false">
                  <v:fill type="solid"/>
                </v:rect>
                <w10:wrap type="none"/>
              </v:group>
            </w:pict>
          </mc:Fallback>
        </mc:AlternateContent>
      </w:r>
      <w:r>
        <w:rPr>
          <w:sz w:val="16"/>
        </w:rPr>
        <w:t>1º</w:t>
      </w:r>
      <w:r>
        <w:rPr>
          <w:spacing w:val="-4"/>
          <w:sz w:val="16"/>
        </w:rPr>
        <w:t> </w:t>
      </w:r>
      <w:r>
        <w:rPr>
          <w:sz w:val="16"/>
        </w:rPr>
        <w:t>de</w:t>
      </w:r>
      <w:r>
        <w:rPr>
          <w:spacing w:val="-3"/>
          <w:sz w:val="16"/>
        </w:rPr>
        <w:t> </w:t>
      </w:r>
      <w:r>
        <w:rPr>
          <w:sz w:val="16"/>
        </w:rPr>
        <w:t>janeiro</w:t>
      </w:r>
      <w:r>
        <w:rPr>
          <w:spacing w:val="-4"/>
          <w:sz w:val="16"/>
        </w:rPr>
        <w:t> </w:t>
      </w:r>
      <w:r>
        <w:rPr>
          <w:spacing w:val="-5"/>
          <w:sz w:val="16"/>
        </w:rPr>
        <w:t>de</w:t>
      </w:r>
    </w:p>
    <w:p>
      <w:pPr>
        <w:spacing w:after="0" w:line="127" w:lineRule="exact"/>
        <w:jc w:val="left"/>
        <w:rPr>
          <w:sz w:val="16"/>
        </w:rPr>
        <w:sectPr>
          <w:type w:val="continuous"/>
          <w:pgSz w:w="11910" w:h="16840"/>
          <w:pgMar w:header="637" w:footer="630" w:top="1940" w:bottom="280" w:left="700" w:right="480"/>
          <w:cols w:num="2" w:equalWidth="0">
            <w:col w:w="8931" w:space="40"/>
            <w:col w:w="1759"/>
          </w:cols>
        </w:sectPr>
      </w:pPr>
    </w:p>
    <w:p>
      <w:pPr>
        <w:spacing w:line="163" w:lineRule="exact" w:before="0"/>
        <w:ind w:left="419" w:right="0" w:firstLine="0"/>
        <w:jc w:val="both"/>
        <w:rPr>
          <w:i/>
          <w:sz w:val="16"/>
        </w:rPr>
      </w:pPr>
      <w:r>
        <w:rPr>
          <w:i/>
          <w:sz w:val="16"/>
        </w:rPr>
        <w:t>IFRS</w:t>
      </w:r>
      <w:r>
        <w:rPr>
          <w:i/>
          <w:spacing w:val="-3"/>
          <w:sz w:val="16"/>
        </w:rPr>
        <w:t> </w:t>
      </w:r>
      <w:r>
        <w:rPr>
          <w:i/>
          <w:sz w:val="16"/>
        </w:rPr>
        <w:t>17</w:t>
      </w:r>
      <w:r>
        <w:rPr>
          <w:i/>
          <w:spacing w:val="-3"/>
          <w:sz w:val="16"/>
        </w:rPr>
        <w:t> </w:t>
      </w:r>
      <w:r>
        <w:rPr>
          <w:i/>
          <w:sz w:val="16"/>
        </w:rPr>
        <w:t>–</w:t>
      </w:r>
      <w:r>
        <w:rPr>
          <w:i/>
          <w:spacing w:val="-4"/>
          <w:sz w:val="16"/>
        </w:rPr>
        <w:t> </w:t>
      </w:r>
      <w:r>
        <w:rPr>
          <w:i/>
          <w:sz w:val="16"/>
        </w:rPr>
        <w:t>Insurance</w:t>
      </w:r>
      <w:r>
        <w:rPr>
          <w:i/>
          <w:spacing w:val="-3"/>
          <w:sz w:val="16"/>
        </w:rPr>
        <w:t> </w:t>
      </w:r>
      <w:r>
        <w:rPr>
          <w:i/>
          <w:sz w:val="16"/>
        </w:rPr>
        <w:t>Contracts</w:t>
      </w:r>
      <w:r>
        <w:rPr>
          <w:i/>
          <w:spacing w:val="-3"/>
          <w:sz w:val="16"/>
        </w:rPr>
        <w:t> </w:t>
      </w:r>
      <w:r>
        <w:rPr>
          <w:i/>
          <w:spacing w:val="-5"/>
          <w:sz w:val="16"/>
        </w:rPr>
        <w:t>and</w:t>
      </w:r>
    </w:p>
    <w:p>
      <w:pPr>
        <w:spacing w:before="0"/>
        <w:ind w:left="419" w:right="25" w:firstLine="0"/>
        <w:jc w:val="both"/>
        <w:rPr>
          <w:i/>
          <w:sz w:val="16"/>
        </w:rPr>
      </w:pPr>
      <w:r>
        <w:rPr>
          <w:i/>
          <w:sz w:val="16"/>
        </w:rPr>
        <w:t>Amendments</w:t>
      </w:r>
      <w:r>
        <w:rPr>
          <w:i/>
          <w:spacing w:val="-10"/>
          <w:sz w:val="16"/>
        </w:rPr>
        <w:t> </w:t>
      </w:r>
      <w:r>
        <w:rPr>
          <w:i/>
          <w:sz w:val="16"/>
        </w:rPr>
        <w:t>to</w:t>
      </w:r>
      <w:r>
        <w:rPr>
          <w:i/>
          <w:spacing w:val="-9"/>
          <w:sz w:val="16"/>
        </w:rPr>
        <w:t> </w:t>
      </w:r>
      <w:r>
        <w:rPr>
          <w:i/>
          <w:sz w:val="16"/>
        </w:rPr>
        <w:t>IFRS</w:t>
      </w:r>
      <w:r>
        <w:rPr>
          <w:i/>
          <w:spacing w:val="-9"/>
          <w:sz w:val="16"/>
        </w:rPr>
        <w:t> </w:t>
      </w:r>
      <w:r>
        <w:rPr>
          <w:i/>
          <w:sz w:val="16"/>
        </w:rPr>
        <w:t>17</w:t>
      </w:r>
      <w:r>
        <w:rPr>
          <w:i/>
          <w:spacing w:val="-9"/>
          <w:sz w:val="16"/>
        </w:rPr>
        <w:t> </w:t>
      </w:r>
      <w:r>
        <w:rPr>
          <w:i/>
          <w:sz w:val="16"/>
        </w:rPr>
        <w:t>Insurance</w:t>
      </w:r>
      <w:r>
        <w:rPr>
          <w:i/>
          <w:spacing w:val="40"/>
          <w:sz w:val="16"/>
        </w:rPr>
        <w:t> </w:t>
      </w:r>
      <w:r>
        <w:rPr>
          <w:i/>
          <w:spacing w:val="-2"/>
          <w:sz w:val="16"/>
        </w:rPr>
        <w:t>Contracts</w:t>
      </w:r>
    </w:p>
    <w:p>
      <w:pPr>
        <w:pStyle w:val="BodyText"/>
        <w:rPr>
          <w:i/>
          <w:sz w:val="16"/>
        </w:rPr>
      </w:pPr>
    </w:p>
    <w:p>
      <w:pPr>
        <w:pStyle w:val="BodyText"/>
        <w:rPr>
          <w:i/>
          <w:sz w:val="16"/>
        </w:rPr>
      </w:pPr>
    </w:p>
    <w:p>
      <w:pPr>
        <w:pStyle w:val="BodyText"/>
        <w:spacing w:before="17"/>
        <w:rPr>
          <w:i/>
          <w:sz w:val="16"/>
        </w:rPr>
      </w:pPr>
    </w:p>
    <w:p>
      <w:pPr>
        <w:spacing w:before="0"/>
        <w:ind w:left="419" w:right="1" w:firstLine="0"/>
        <w:jc w:val="both"/>
        <w:rPr>
          <w:i/>
          <w:sz w:val="16"/>
        </w:rPr>
      </w:pPr>
      <w:r>
        <w:rPr/>
        <mc:AlternateContent>
          <mc:Choice Requires="wps">
            <w:drawing>
              <wp:anchor distT="0" distB="0" distL="0" distR="0" allowOverlap="1" layoutInCell="1" locked="0" behindDoc="0" simplePos="0" relativeHeight="15742464">
                <wp:simplePos x="0" y="0"/>
                <wp:positionH relativeFrom="page">
                  <wp:posOffset>669036</wp:posOffset>
                </wp:positionH>
                <wp:positionV relativeFrom="paragraph">
                  <wp:posOffset>-190325</wp:posOffset>
                </wp:positionV>
                <wp:extent cx="6433185" cy="19050"/>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6433185" cy="19050"/>
                        </a:xfrm>
                        <a:custGeom>
                          <a:avLst/>
                          <a:gdLst/>
                          <a:ahLst/>
                          <a:cxnLst/>
                          <a:rect l="l" t="t" r="r" b="b"/>
                          <a:pathLst>
                            <a:path w="6433185" h="19050">
                              <a:moveTo>
                                <a:pt x="6432803" y="0"/>
                              </a:moveTo>
                              <a:lnTo>
                                <a:pt x="0" y="0"/>
                              </a:lnTo>
                              <a:lnTo>
                                <a:pt x="0" y="19050"/>
                              </a:lnTo>
                              <a:lnTo>
                                <a:pt x="6432803" y="19050"/>
                              </a:lnTo>
                              <a:lnTo>
                                <a:pt x="643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8pt;margin-top:-14.986284pt;width:506.52pt;height:1.5pt;mso-position-horizontal-relative:page;mso-position-vertical-relative:paragraph;z-index:15742464" id="docshape48" filled="true" fillcolor="#000000" stroked="false">
                <v:fill type="solid"/>
                <w10:wrap type="none"/>
              </v:rect>
            </w:pict>
          </mc:Fallback>
        </mc:AlternateContent>
      </w:r>
      <w:r>
        <w:rPr>
          <w:i/>
          <w:sz w:val="16"/>
        </w:rPr>
        <w:t>Disclosure</w:t>
      </w:r>
      <w:r>
        <w:rPr>
          <w:i/>
          <w:spacing w:val="-8"/>
          <w:sz w:val="16"/>
        </w:rPr>
        <w:t> </w:t>
      </w:r>
      <w:r>
        <w:rPr>
          <w:i/>
          <w:sz w:val="16"/>
        </w:rPr>
        <w:t>of</w:t>
      </w:r>
      <w:r>
        <w:rPr>
          <w:i/>
          <w:spacing w:val="-8"/>
          <w:sz w:val="16"/>
        </w:rPr>
        <w:t> </w:t>
      </w:r>
      <w:r>
        <w:rPr>
          <w:i/>
          <w:sz w:val="16"/>
        </w:rPr>
        <w:t>Accounting</w:t>
      </w:r>
      <w:r>
        <w:rPr>
          <w:i/>
          <w:spacing w:val="-7"/>
          <w:sz w:val="16"/>
        </w:rPr>
        <w:t> </w:t>
      </w:r>
      <w:r>
        <w:rPr>
          <w:i/>
          <w:sz w:val="16"/>
        </w:rPr>
        <w:t>Policies</w:t>
      </w:r>
      <w:r>
        <w:rPr>
          <w:i/>
          <w:spacing w:val="-8"/>
          <w:sz w:val="16"/>
        </w:rPr>
        <w:t> </w:t>
      </w:r>
      <w:r>
        <w:rPr>
          <w:i/>
          <w:sz w:val="16"/>
        </w:rPr>
        <w:t>–</w:t>
      </w:r>
      <w:r>
        <w:rPr>
          <w:i/>
          <w:spacing w:val="40"/>
          <w:sz w:val="16"/>
        </w:rPr>
        <w:t> </w:t>
      </w:r>
      <w:r>
        <w:rPr>
          <w:i/>
          <w:sz w:val="16"/>
        </w:rPr>
        <w:t>Amendments</w:t>
      </w:r>
      <w:r>
        <w:rPr>
          <w:i/>
          <w:spacing w:val="-8"/>
          <w:sz w:val="16"/>
        </w:rPr>
        <w:t> </w:t>
      </w:r>
      <w:r>
        <w:rPr>
          <w:i/>
          <w:sz w:val="16"/>
        </w:rPr>
        <w:t>to</w:t>
      </w:r>
      <w:r>
        <w:rPr>
          <w:i/>
          <w:spacing w:val="-8"/>
          <w:sz w:val="16"/>
        </w:rPr>
        <w:t> </w:t>
      </w:r>
      <w:r>
        <w:rPr>
          <w:i/>
          <w:sz w:val="16"/>
        </w:rPr>
        <w:t>IAS</w:t>
      </w:r>
      <w:r>
        <w:rPr>
          <w:i/>
          <w:spacing w:val="-8"/>
          <w:sz w:val="16"/>
        </w:rPr>
        <w:t> </w:t>
      </w:r>
      <w:r>
        <w:rPr>
          <w:i/>
          <w:sz w:val="16"/>
        </w:rPr>
        <w:t>1</w:t>
      </w:r>
      <w:r>
        <w:rPr>
          <w:i/>
          <w:spacing w:val="-8"/>
          <w:sz w:val="16"/>
        </w:rPr>
        <w:t> </w:t>
      </w:r>
      <w:r>
        <w:rPr>
          <w:i/>
          <w:sz w:val="16"/>
        </w:rPr>
        <w:t>and</w:t>
      </w:r>
      <w:r>
        <w:rPr>
          <w:i/>
          <w:spacing w:val="-8"/>
          <w:sz w:val="16"/>
        </w:rPr>
        <w:t> </w:t>
      </w:r>
      <w:r>
        <w:rPr>
          <w:i/>
          <w:sz w:val="16"/>
        </w:rPr>
        <w:t>Practice</w:t>
      </w:r>
      <w:r>
        <w:rPr>
          <w:i/>
          <w:spacing w:val="40"/>
          <w:sz w:val="16"/>
        </w:rPr>
        <w:t> </w:t>
      </w:r>
      <w:r>
        <w:rPr>
          <w:i/>
          <w:sz w:val="16"/>
        </w:rPr>
        <w:t>Statement</w:t>
      </w:r>
      <w:r>
        <w:rPr>
          <w:i/>
          <w:spacing w:val="-5"/>
          <w:sz w:val="16"/>
        </w:rPr>
        <w:t> </w:t>
      </w:r>
      <w:r>
        <w:rPr>
          <w:i/>
          <w:sz w:val="16"/>
        </w:rPr>
        <w:t>2</w:t>
      </w:r>
    </w:p>
    <w:p>
      <w:pPr>
        <w:pStyle w:val="BodyText"/>
        <w:rPr>
          <w:i/>
          <w:sz w:val="16"/>
        </w:rPr>
      </w:pPr>
    </w:p>
    <w:p>
      <w:pPr>
        <w:pStyle w:val="BodyText"/>
        <w:spacing w:before="116"/>
        <w:rPr>
          <w:i/>
          <w:sz w:val="16"/>
        </w:rPr>
      </w:pPr>
    </w:p>
    <w:p>
      <w:pPr>
        <w:spacing w:before="1"/>
        <w:ind w:left="419" w:right="1" w:hanging="1"/>
        <w:jc w:val="both"/>
        <w:rPr>
          <w:i/>
          <w:sz w:val="16"/>
        </w:rPr>
      </w:pPr>
      <w:r>
        <w:rPr/>
        <mc:AlternateContent>
          <mc:Choice Requires="wps">
            <w:drawing>
              <wp:anchor distT="0" distB="0" distL="0" distR="0" allowOverlap="1" layoutInCell="1" locked="0" behindDoc="0" simplePos="0" relativeHeight="15742976">
                <wp:simplePos x="0" y="0"/>
                <wp:positionH relativeFrom="page">
                  <wp:posOffset>669036</wp:posOffset>
                </wp:positionH>
                <wp:positionV relativeFrom="paragraph">
                  <wp:posOffset>-149534</wp:posOffset>
                </wp:positionV>
                <wp:extent cx="6433185" cy="19050"/>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6433185" cy="19050"/>
                        </a:xfrm>
                        <a:custGeom>
                          <a:avLst/>
                          <a:gdLst/>
                          <a:ahLst/>
                          <a:cxnLst/>
                          <a:rect l="l" t="t" r="r" b="b"/>
                          <a:pathLst>
                            <a:path w="6433185" h="19050">
                              <a:moveTo>
                                <a:pt x="6432803" y="0"/>
                              </a:moveTo>
                              <a:lnTo>
                                <a:pt x="0" y="0"/>
                              </a:lnTo>
                              <a:lnTo>
                                <a:pt x="0" y="19050"/>
                              </a:lnTo>
                              <a:lnTo>
                                <a:pt x="6432803" y="19050"/>
                              </a:lnTo>
                              <a:lnTo>
                                <a:pt x="643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8pt;margin-top:-11.774409pt;width:506.52pt;height:1.5pt;mso-position-horizontal-relative:page;mso-position-vertical-relative:paragraph;z-index:15742976" id="docshape49" filled="true" fillcolor="#000000" stroked="false">
                <v:fill type="solid"/>
                <w10:wrap type="none"/>
              </v:rect>
            </w:pict>
          </mc:Fallback>
        </mc:AlternateContent>
      </w:r>
      <w:r>
        <w:rPr>
          <w:i/>
          <w:sz w:val="16"/>
        </w:rPr>
        <w:t>Definition</w:t>
      </w:r>
      <w:r>
        <w:rPr>
          <w:i/>
          <w:spacing w:val="-10"/>
          <w:sz w:val="16"/>
        </w:rPr>
        <w:t> </w:t>
      </w:r>
      <w:r>
        <w:rPr>
          <w:i/>
          <w:sz w:val="16"/>
        </w:rPr>
        <w:t>of</w:t>
      </w:r>
      <w:r>
        <w:rPr>
          <w:i/>
          <w:spacing w:val="-9"/>
          <w:sz w:val="16"/>
        </w:rPr>
        <w:t> </w:t>
      </w:r>
      <w:r>
        <w:rPr>
          <w:i/>
          <w:sz w:val="16"/>
        </w:rPr>
        <w:t>Accounting</w:t>
      </w:r>
      <w:r>
        <w:rPr>
          <w:i/>
          <w:spacing w:val="-9"/>
          <w:sz w:val="16"/>
        </w:rPr>
        <w:t> </w:t>
      </w:r>
      <w:r>
        <w:rPr>
          <w:i/>
          <w:sz w:val="16"/>
        </w:rPr>
        <w:t>Estimates</w:t>
      </w:r>
      <w:r>
        <w:rPr>
          <w:i/>
          <w:spacing w:val="40"/>
          <w:sz w:val="16"/>
        </w:rPr>
        <w:t> </w:t>
      </w:r>
      <w:r>
        <w:rPr>
          <w:i/>
          <w:sz w:val="16"/>
        </w:rPr>
        <w:t>– Amendments to IAS 8</w:t>
      </w:r>
    </w:p>
    <w:p>
      <w:pPr>
        <w:pStyle w:val="BodyText"/>
        <w:spacing w:before="74"/>
        <w:rPr>
          <w:i/>
          <w:sz w:val="16"/>
        </w:rPr>
      </w:pPr>
    </w:p>
    <w:p>
      <w:pPr>
        <w:spacing w:before="0"/>
        <w:ind w:left="419" w:right="0" w:hanging="1"/>
        <w:jc w:val="left"/>
        <w:rPr>
          <w:i/>
          <w:sz w:val="16"/>
        </w:rPr>
      </w:pPr>
      <w:r>
        <w:rPr/>
        <mc:AlternateContent>
          <mc:Choice Requires="wps">
            <w:drawing>
              <wp:anchor distT="0" distB="0" distL="0" distR="0" allowOverlap="1" layoutInCell="1" locked="0" behindDoc="0" simplePos="0" relativeHeight="15743488">
                <wp:simplePos x="0" y="0"/>
                <wp:positionH relativeFrom="page">
                  <wp:posOffset>669036</wp:posOffset>
                </wp:positionH>
                <wp:positionV relativeFrom="paragraph">
                  <wp:posOffset>-35830</wp:posOffset>
                </wp:positionV>
                <wp:extent cx="6433185" cy="19050"/>
                <wp:effectExtent l="0" t="0" r="0" b="0"/>
                <wp:wrapNone/>
                <wp:docPr id="65" name="Graphic 65"/>
                <wp:cNvGraphicFramePr>
                  <a:graphicFrameLocks/>
                </wp:cNvGraphicFramePr>
                <a:graphic>
                  <a:graphicData uri="http://schemas.microsoft.com/office/word/2010/wordprocessingShape">
                    <wps:wsp>
                      <wps:cNvPr id="65" name="Graphic 65"/>
                      <wps:cNvSpPr/>
                      <wps:spPr>
                        <a:xfrm>
                          <a:off x="0" y="0"/>
                          <a:ext cx="6433185" cy="19050"/>
                        </a:xfrm>
                        <a:custGeom>
                          <a:avLst/>
                          <a:gdLst/>
                          <a:ahLst/>
                          <a:cxnLst/>
                          <a:rect l="l" t="t" r="r" b="b"/>
                          <a:pathLst>
                            <a:path w="6433185" h="19050">
                              <a:moveTo>
                                <a:pt x="6432803" y="0"/>
                              </a:moveTo>
                              <a:lnTo>
                                <a:pt x="0" y="0"/>
                              </a:lnTo>
                              <a:lnTo>
                                <a:pt x="0" y="19050"/>
                              </a:lnTo>
                              <a:lnTo>
                                <a:pt x="6432803" y="19050"/>
                              </a:lnTo>
                              <a:lnTo>
                                <a:pt x="643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8pt;margin-top:-2.821284pt;width:506.52pt;height:1.5pt;mso-position-horizontal-relative:page;mso-position-vertical-relative:paragraph;z-index:15743488" id="docshape50" filled="true" fillcolor="#000000" stroked="false">
                <v:fill type="solid"/>
                <w10:wrap type="none"/>
              </v:rect>
            </w:pict>
          </mc:Fallback>
        </mc:AlternateContent>
      </w:r>
      <w:r>
        <w:rPr/>
        <mc:AlternateContent>
          <mc:Choice Requires="wps">
            <w:drawing>
              <wp:anchor distT="0" distB="0" distL="0" distR="0" allowOverlap="1" layoutInCell="1" locked="0" behindDoc="0" simplePos="0" relativeHeight="15744000">
                <wp:simplePos x="0" y="0"/>
                <wp:positionH relativeFrom="page">
                  <wp:posOffset>669036</wp:posOffset>
                </wp:positionH>
                <wp:positionV relativeFrom="paragraph">
                  <wp:posOffset>515095</wp:posOffset>
                </wp:positionV>
                <wp:extent cx="6433185" cy="1905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6433185" cy="19050"/>
                        </a:xfrm>
                        <a:custGeom>
                          <a:avLst/>
                          <a:gdLst/>
                          <a:ahLst/>
                          <a:cxnLst/>
                          <a:rect l="l" t="t" r="r" b="b"/>
                          <a:pathLst>
                            <a:path w="6433185" h="19050">
                              <a:moveTo>
                                <a:pt x="6432803" y="0"/>
                              </a:moveTo>
                              <a:lnTo>
                                <a:pt x="0" y="0"/>
                              </a:lnTo>
                              <a:lnTo>
                                <a:pt x="0" y="19050"/>
                              </a:lnTo>
                              <a:lnTo>
                                <a:pt x="6432803" y="19050"/>
                              </a:lnTo>
                              <a:lnTo>
                                <a:pt x="643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8pt;margin-top:40.558716pt;width:506.52pt;height:1.5pt;mso-position-horizontal-relative:page;mso-position-vertical-relative:paragraph;z-index:15744000" id="docshape51" filled="true" fillcolor="#000000" stroked="false">
                <v:fill type="solid"/>
                <w10:wrap type="none"/>
              </v:rect>
            </w:pict>
          </mc:Fallback>
        </mc:AlternateContent>
      </w:r>
      <w:r>
        <w:rPr>
          <w:i/>
          <w:sz w:val="16"/>
        </w:rPr>
        <w:t>Deferred</w:t>
      </w:r>
      <w:r>
        <w:rPr>
          <w:i/>
          <w:spacing w:val="-8"/>
          <w:sz w:val="16"/>
        </w:rPr>
        <w:t> </w:t>
      </w:r>
      <w:r>
        <w:rPr>
          <w:i/>
          <w:sz w:val="16"/>
        </w:rPr>
        <w:t>Tax</w:t>
      </w:r>
      <w:r>
        <w:rPr>
          <w:i/>
          <w:spacing w:val="-8"/>
          <w:sz w:val="16"/>
        </w:rPr>
        <w:t> </w:t>
      </w:r>
      <w:r>
        <w:rPr>
          <w:i/>
          <w:sz w:val="16"/>
        </w:rPr>
        <w:t>related</w:t>
      </w:r>
      <w:r>
        <w:rPr>
          <w:i/>
          <w:spacing w:val="-8"/>
          <w:sz w:val="16"/>
        </w:rPr>
        <w:t> </w:t>
      </w:r>
      <w:r>
        <w:rPr>
          <w:i/>
          <w:sz w:val="16"/>
        </w:rPr>
        <w:t>to</w:t>
      </w:r>
      <w:r>
        <w:rPr>
          <w:i/>
          <w:spacing w:val="-8"/>
          <w:sz w:val="16"/>
        </w:rPr>
        <w:t> </w:t>
      </w:r>
      <w:r>
        <w:rPr>
          <w:i/>
          <w:sz w:val="16"/>
        </w:rPr>
        <w:t>Assets</w:t>
      </w:r>
      <w:r>
        <w:rPr>
          <w:i/>
          <w:spacing w:val="-8"/>
          <w:sz w:val="16"/>
        </w:rPr>
        <w:t> </w:t>
      </w:r>
      <w:r>
        <w:rPr>
          <w:i/>
          <w:sz w:val="16"/>
        </w:rPr>
        <w:t>and</w:t>
      </w:r>
      <w:r>
        <w:rPr>
          <w:i/>
          <w:spacing w:val="40"/>
          <w:sz w:val="16"/>
        </w:rPr>
        <w:t> </w:t>
      </w:r>
      <w:r>
        <w:rPr>
          <w:i/>
          <w:sz w:val="16"/>
        </w:rPr>
        <w:t>Liabilities arising from a Single</w:t>
      </w:r>
      <w:r>
        <w:rPr>
          <w:i/>
          <w:spacing w:val="40"/>
          <w:sz w:val="16"/>
        </w:rPr>
        <w:t> </w:t>
      </w:r>
      <w:r>
        <w:rPr>
          <w:i/>
          <w:sz w:val="16"/>
        </w:rPr>
        <w:t>Transaction – Amendments to IAS</w:t>
      </w:r>
      <w:r>
        <w:rPr>
          <w:i/>
          <w:spacing w:val="40"/>
          <w:sz w:val="16"/>
        </w:rPr>
        <w:t> </w:t>
      </w:r>
      <w:r>
        <w:rPr>
          <w:i/>
          <w:spacing w:val="-6"/>
          <w:sz w:val="16"/>
        </w:rPr>
        <w:t>12</w:t>
      </w:r>
    </w:p>
    <w:p>
      <w:pPr>
        <w:spacing w:line="237" w:lineRule="auto" w:before="73"/>
        <w:ind w:left="419" w:right="8" w:hanging="1"/>
        <w:jc w:val="left"/>
        <w:rPr>
          <w:i/>
          <w:sz w:val="16"/>
        </w:rPr>
      </w:pPr>
      <w:r>
        <w:rPr/>
        <mc:AlternateContent>
          <mc:Choice Requires="wps">
            <w:drawing>
              <wp:anchor distT="0" distB="0" distL="0" distR="0" allowOverlap="1" layoutInCell="1" locked="0" behindDoc="0" simplePos="0" relativeHeight="15744512">
                <wp:simplePos x="0" y="0"/>
                <wp:positionH relativeFrom="page">
                  <wp:posOffset>669036</wp:posOffset>
                </wp:positionH>
                <wp:positionV relativeFrom="paragraph">
                  <wp:posOffset>425147</wp:posOffset>
                </wp:positionV>
                <wp:extent cx="6433185" cy="1905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6433185" cy="19050"/>
                        </a:xfrm>
                        <a:custGeom>
                          <a:avLst/>
                          <a:gdLst/>
                          <a:ahLst/>
                          <a:cxnLst/>
                          <a:rect l="l" t="t" r="r" b="b"/>
                          <a:pathLst>
                            <a:path w="6433185" h="19050">
                              <a:moveTo>
                                <a:pt x="6432803" y="0"/>
                              </a:moveTo>
                              <a:lnTo>
                                <a:pt x="0" y="0"/>
                              </a:lnTo>
                              <a:lnTo>
                                <a:pt x="0" y="19050"/>
                              </a:lnTo>
                              <a:lnTo>
                                <a:pt x="6432803" y="19050"/>
                              </a:lnTo>
                              <a:lnTo>
                                <a:pt x="643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2.68pt;margin-top:33.476215pt;width:506.52pt;height:1.5pt;mso-position-horizontal-relative:page;mso-position-vertical-relative:paragraph;z-index:15744512" id="docshape52" filled="true" fillcolor="#000000" stroked="false">
                <v:fill type="solid"/>
                <w10:wrap type="none"/>
              </v:rect>
            </w:pict>
          </mc:Fallback>
        </mc:AlternateContent>
      </w:r>
      <w:r>
        <w:rPr>
          <w:i/>
          <w:sz w:val="16"/>
        </w:rPr>
        <w:t>Lease Liability in a Sale and</w:t>
      </w:r>
      <w:r>
        <w:rPr>
          <w:i/>
          <w:spacing w:val="40"/>
          <w:sz w:val="16"/>
        </w:rPr>
        <w:t> </w:t>
      </w:r>
      <w:r>
        <w:rPr>
          <w:i/>
          <w:sz w:val="16"/>
        </w:rPr>
        <w:t>Leaseback</w:t>
      </w:r>
      <w:r>
        <w:rPr>
          <w:i/>
          <w:spacing w:val="-10"/>
          <w:sz w:val="16"/>
        </w:rPr>
        <w:t> </w:t>
      </w:r>
      <w:r>
        <w:rPr>
          <w:i/>
          <w:sz w:val="16"/>
        </w:rPr>
        <w:t>‐</w:t>
      </w:r>
      <w:r>
        <w:rPr>
          <w:i/>
          <w:spacing w:val="-9"/>
          <w:sz w:val="16"/>
        </w:rPr>
        <w:t> </w:t>
      </w:r>
      <w:r>
        <w:rPr>
          <w:i/>
          <w:sz w:val="16"/>
        </w:rPr>
        <w:t>Amendments</w:t>
      </w:r>
      <w:r>
        <w:rPr>
          <w:i/>
          <w:spacing w:val="-9"/>
          <w:sz w:val="16"/>
        </w:rPr>
        <w:t> </w:t>
      </w:r>
      <w:r>
        <w:rPr>
          <w:i/>
          <w:sz w:val="16"/>
        </w:rPr>
        <w:t>to</w:t>
      </w:r>
      <w:r>
        <w:rPr>
          <w:i/>
          <w:spacing w:val="-9"/>
          <w:sz w:val="16"/>
        </w:rPr>
        <w:t> </w:t>
      </w:r>
      <w:r>
        <w:rPr>
          <w:i/>
          <w:sz w:val="16"/>
        </w:rPr>
        <w:t>IFRS</w:t>
      </w:r>
      <w:r>
        <w:rPr>
          <w:i/>
          <w:spacing w:val="40"/>
          <w:sz w:val="16"/>
        </w:rPr>
        <w:t> </w:t>
      </w:r>
      <w:r>
        <w:rPr>
          <w:i/>
          <w:spacing w:val="-6"/>
          <w:sz w:val="16"/>
        </w:rPr>
        <w:t>16</w:t>
      </w:r>
    </w:p>
    <w:p>
      <w:pPr>
        <w:pStyle w:val="BodyText"/>
        <w:rPr>
          <w:i/>
          <w:sz w:val="16"/>
        </w:rPr>
      </w:pPr>
    </w:p>
    <w:p>
      <w:pPr>
        <w:pStyle w:val="BodyText"/>
        <w:rPr>
          <w:i/>
          <w:sz w:val="16"/>
        </w:rPr>
      </w:pPr>
    </w:p>
    <w:p>
      <w:pPr>
        <w:pStyle w:val="BodyText"/>
        <w:spacing w:before="41"/>
        <w:rPr>
          <w:i/>
          <w:sz w:val="16"/>
        </w:rPr>
      </w:pPr>
    </w:p>
    <w:p>
      <w:pPr>
        <w:spacing w:before="0"/>
        <w:ind w:left="419" w:right="0" w:hanging="1"/>
        <w:jc w:val="left"/>
        <w:rPr>
          <w:i/>
          <w:sz w:val="16"/>
        </w:rPr>
      </w:pPr>
      <w:r>
        <w:rPr>
          <w:i/>
          <w:sz w:val="16"/>
        </w:rPr>
        <w:t>Classification of Liabilities as</w:t>
      </w:r>
      <w:r>
        <w:rPr>
          <w:i/>
          <w:spacing w:val="40"/>
          <w:sz w:val="16"/>
        </w:rPr>
        <w:t> </w:t>
      </w:r>
      <w:r>
        <w:rPr>
          <w:i/>
          <w:sz w:val="16"/>
        </w:rPr>
        <w:t>Current or Non‐current / Non‐</w:t>
      </w:r>
      <w:r>
        <w:rPr>
          <w:i/>
          <w:spacing w:val="40"/>
          <w:sz w:val="16"/>
        </w:rPr>
        <w:t> </w:t>
      </w:r>
      <w:r>
        <w:rPr>
          <w:i/>
          <w:sz w:val="16"/>
        </w:rPr>
        <w:t>current</w:t>
      </w:r>
      <w:r>
        <w:rPr>
          <w:i/>
          <w:spacing w:val="-10"/>
          <w:sz w:val="16"/>
        </w:rPr>
        <w:t> </w:t>
      </w:r>
      <w:r>
        <w:rPr>
          <w:i/>
          <w:sz w:val="16"/>
        </w:rPr>
        <w:t>Liabilities</w:t>
      </w:r>
      <w:r>
        <w:rPr>
          <w:i/>
          <w:spacing w:val="-9"/>
          <w:sz w:val="16"/>
        </w:rPr>
        <w:t> </w:t>
      </w:r>
      <w:r>
        <w:rPr>
          <w:i/>
          <w:sz w:val="16"/>
        </w:rPr>
        <w:t>with</w:t>
      </w:r>
      <w:r>
        <w:rPr>
          <w:i/>
          <w:spacing w:val="-9"/>
          <w:sz w:val="16"/>
        </w:rPr>
        <w:t> </w:t>
      </w:r>
      <w:r>
        <w:rPr>
          <w:i/>
          <w:sz w:val="16"/>
        </w:rPr>
        <w:t>Covenants‐</w:t>
      </w:r>
      <w:r>
        <w:rPr>
          <w:i/>
          <w:spacing w:val="40"/>
          <w:sz w:val="16"/>
        </w:rPr>
        <w:t> </w:t>
      </w:r>
      <w:r>
        <w:rPr>
          <w:i/>
          <w:sz w:val="16"/>
        </w:rPr>
        <w:t>Amendments to IAS 1</w:t>
      </w:r>
    </w:p>
    <w:p>
      <w:pPr>
        <w:spacing w:line="164" w:lineRule="exact" w:before="0"/>
        <w:ind w:left="247" w:right="0" w:firstLine="0"/>
        <w:jc w:val="both"/>
        <w:rPr>
          <w:sz w:val="16"/>
        </w:rPr>
      </w:pPr>
      <w:r>
        <w:rPr/>
        <w:br w:type="column"/>
      </w:r>
      <w:r>
        <w:rPr>
          <w:sz w:val="16"/>
        </w:rPr>
        <w:t>requisitos</w:t>
      </w:r>
      <w:r>
        <w:rPr>
          <w:spacing w:val="-1"/>
          <w:sz w:val="16"/>
        </w:rPr>
        <w:t> </w:t>
      </w:r>
      <w:r>
        <w:rPr>
          <w:sz w:val="16"/>
        </w:rPr>
        <w:t>que devem ser</w:t>
      </w:r>
      <w:r>
        <w:rPr>
          <w:spacing w:val="-1"/>
          <w:sz w:val="16"/>
        </w:rPr>
        <w:t> </w:t>
      </w:r>
      <w:r>
        <w:rPr>
          <w:sz w:val="16"/>
        </w:rPr>
        <w:t>aplicados, por emissores de</w:t>
      </w:r>
      <w:r>
        <w:rPr>
          <w:spacing w:val="1"/>
          <w:sz w:val="16"/>
        </w:rPr>
        <w:t> </w:t>
      </w:r>
      <w:r>
        <w:rPr>
          <w:sz w:val="16"/>
        </w:rPr>
        <w:t>contratos de seguros e resseguros </w:t>
      </w:r>
      <w:r>
        <w:rPr>
          <w:spacing w:val="-5"/>
          <w:sz w:val="16"/>
        </w:rPr>
        <w:t>no</w:t>
      </w:r>
    </w:p>
    <w:p>
      <w:pPr>
        <w:spacing w:before="0"/>
        <w:ind w:left="247" w:right="3" w:hanging="1"/>
        <w:jc w:val="both"/>
        <w:rPr>
          <w:sz w:val="16"/>
        </w:rPr>
      </w:pPr>
      <w:r>
        <w:rPr>
          <w:sz w:val="16"/>
        </w:rPr>
        <w:t>escopo da norma, e para contratos de resseguros mantidos, no reconhecimento,</w:t>
      </w:r>
      <w:r>
        <w:rPr>
          <w:spacing w:val="40"/>
          <w:sz w:val="16"/>
        </w:rPr>
        <w:t> </w:t>
      </w:r>
      <w:r>
        <w:rPr>
          <w:sz w:val="16"/>
        </w:rPr>
        <w:t>mensuração, apresentação e divulgação relacionados aos contratos de seguro e de</w:t>
      </w:r>
      <w:r>
        <w:rPr>
          <w:spacing w:val="40"/>
          <w:sz w:val="16"/>
        </w:rPr>
        <w:t> </w:t>
      </w:r>
      <w:r>
        <w:rPr>
          <w:spacing w:val="-2"/>
          <w:sz w:val="16"/>
        </w:rPr>
        <w:t>resseguro.</w:t>
      </w:r>
    </w:p>
    <w:p>
      <w:pPr>
        <w:pStyle w:val="BodyText"/>
        <w:spacing w:before="113"/>
        <w:rPr>
          <w:sz w:val="16"/>
        </w:rPr>
      </w:pPr>
    </w:p>
    <w:p>
      <w:pPr>
        <w:spacing w:before="0"/>
        <w:ind w:left="247" w:right="9" w:firstLine="0"/>
        <w:jc w:val="both"/>
        <w:rPr>
          <w:sz w:val="16"/>
        </w:rPr>
      </w:pPr>
      <w:r>
        <w:rPr>
          <w:sz w:val="16"/>
        </w:rPr>
        <w:t>Em substituição ao requerimento de divulgação de políticas contábeis significativas, as</w:t>
      </w:r>
      <w:r>
        <w:rPr>
          <w:spacing w:val="40"/>
          <w:sz w:val="16"/>
        </w:rPr>
        <w:t> </w:t>
      </w:r>
      <w:r>
        <w:rPr>
          <w:sz w:val="16"/>
        </w:rPr>
        <w:t>emendas</w:t>
      </w:r>
      <w:r>
        <w:rPr>
          <w:spacing w:val="-2"/>
          <w:sz w:val="16"/>
        </w:rPr>
        <w:t> </w:t>
      </w:r>
      <w:r>
        <w:rPr>
          <w:sz w:val="16"/>
        </w:rPr>
        <w:t>ao</w:t>
      </w:r>
      <w:r>
        <w:rPr>
          <w:spacing w:val="-2"/>
          <w:sz w:val="16"/>
        </w:rPr>
        <w:t> </w:t>
      </w:r>
      <w:r>
        <w:rPr>
          <w:sz w:val="16"/>
        </w:rPr>
        <w:t>IAS</w:t>
      </w:r>
      <w:r>
        <w:rPr>
          <w:spacing w:val="-2"/>
          <w:sz w:val="16"/>
        </w:rPr>
        <w:t> </w:t>
      </w:r>
      <w:r>
        <w:rPr>
          <w:sz w:val="16"/>
        </w:rPr>
        <w:t>1</w:t>
      </w:r>
      <w:r>
        <w:rPr>
          <w:spacing w:val="-3"/>
          <w:sz w:val="16"/>
        </w:rPr>
        <w:t> </w:t>
      </w:r>
      <w:r>
        <w:rPr>
          <w:sz w:val="16"/>
        </w:rPr>
        <w:t>Presentation</w:t>
      </w:r>
      <w:r>
        <w:rPr>
          <w:spacing w:val="-2"/>
          <w:sz w:val="16"/>
        </w:rPr>
        <w:t> </w:t>
      </w:r>
      <w:r>
        <w:rPr>
          <w:sz w:val="16"/>
        </w:rPr>
        <w:t>of</w:t>
      </w:r>
      <w:r>
        <w:rPr>
          <w:spacing w:val="-2"/>
          <w:sz w:val="16"/>
        </w:rPr>
        <w:t> </w:t>
      </w:r>
      <w:r>
        <w:rPr>
          <w:sz w:val="16"/>
        </w:rPr>
        <w:t>Financial</w:t>
      </w:r>
      <w:r>
        <w:rPr>
          <w:spacing w:val="-2"/>
          <w:sz w:val="16"/>
        </w:rPr>
        <w:t> </w:t>
      </w:r>
      <w:r>
        <w:rPr>
          <w:sz w:val="16"/>
        </w:rPr>
        <w:t>Statements</w:t>
      </w:r>
      <w:r>
        <w:rPr>
          <w:spacing w:val="-4"/>
          <w:sz w:val="16"/>
        </w:rPr>
        <w:t> </w:t>
      </w:r>
      <w:r>
        <w:rPr>
          <w:sz w:val="16"/>
        </w:rPr>
        <w:t>estabelecem</w:t>
      </w:r>
      <w:r>
        <w:rPr>
          <w:spacing w:val="-3"/>
          <w:sz w:val="16"/>
        </w:rPr>
        <w:t> </w:t>
      </w:r>
      <w:r>
        <w:rPr>
          <w:sz w:val="16"/>
        </w:rPr>
        <w:t>que</w:t>
      </w:r>
      <w:r>
        <w:rPr>
          <w:spacing w:val="-3"/>
          <w:sz w:val="16"/>
        </w:rPr>
        <w:t> </w:t>
      </w:r>
      <w:r>
        <w:rPr>
          <w:sz w:val="16"/>
        </w:rPr>
        <w:t>políticas</w:t>
      </w:r>
      <w:r>
        <w:rPr>
          <w:spacing w:val="-4"/>
          <w:sz w:val="16"/>
        </w:rPr>
        <w:t> </w:t>
      </w:r>
      <w:r>
        <w:rPr>
          <w:sz w:val="16"/>
        </w:rPr>
        <w:t>contábeis</w:t>
      </w:r>
      <w:r>
        <w:rPr>
          <w:spacing w:val="40"/>
          <w:sz w:val="16"/>
        </w:rPr>
        <w:t> </w:t>
      </w:r>
      <w:r>
        <w:rPr>
          <w:sz w:val="16"/>
        </w:rPr>
        <w:t>devem ser divulgadas quando forem materiais. Entre outras coisas, a emenda provê</w:t>
      </w:r>
      <w:r>
        <w:rPr>
          <w:spacing w:val="40"/>
          <w:sz w:val="16"/>
        </w:rPr>
        <w:t> </w:t>
      </w:r>
      <w:r>
        <w:rPr>
          <w:sz w:val="16"/>
        </w:rPr>
        <w:t>orientações para determinar tal materialidade.</w:t>
      </w:r>
    </w:p>
    <w:p>
      <w:pPr>
        <w:pStyle w:val="BodyText"/>
        <w:spacing w:before="20"/>
        <w:rPr>
          <w:sz w:val="16"/>
        </w:rPr>
      </w:pPr>
    </w:p>
    <w:p>
      <w:pPr>
        <w:spacing w:before="0"/>
        <w:ind w:left="247" w:right="0" w:firstLine="0"/>
        <w:jc w:val="left"/>
        <w:rPr>
          <w:sz w:val="16"/>
        </w:rPr>
      </w:pPr>
      <w:r>
        <w:rPr>
          <w:sz w:val="16"/>
        </w:rPr>
        <w:t>De</w:t>
      </w:r>
      <w:r>
        <w:rPr>
          <w:spacing w:val="-2"/>
          <w:sz w:val="16"/>
        </w:rPr>
        <w:t> </w:t>
      </w:r>
      <w:r>
        <w:rPr>
          <w:sz w:val="16"/>
        </w:rPr>
        <w:t>acordo</w:t>
      </w:r>
      <w:r>
        <w:rPr>
          <w:spacing w:val="-1"/>
          <w:sz w:val="16"/>
        </w:rPr>
        <w:t> </w:t>
      </w:r>
      <w:r>
        <w:rPr>
          <w:sz w:val="16"/>
        </w:rPr>
        <w:t>com</w:t>
      </w:r>
      <w:r>
        <w:rPr>
          <w:spacing w:val="-1"/>
          <w:sz w:val="16"/>
        </w:rPr>
        <w:t> </w:t>
      </w:r>
      <w:r>
        <w:rPr>
          <w:sz w:val="16"/>
        </w:rPr>
        <w:t>as emendas</w:t>
      </w:r>
      <w:r>
        <w:rPr>
          <w:spacing w:val="-1"/>
          <w:sz w:val="16"/>
        </w:rPr>
        <w:t> </w:t>
      </w:r>
      <w:r>
        <w:rPr>
          <w:sz w:val="16"/>
        </w:rPr>
        <w:t>ao</w:t>
      </w:r>
      <w:r>
        <w:rPr>
          <w:spacing w:val="-1"/>
          <w:sz w:val="16"/>
        </w:rPr>
        <w:t> </w:t>
      </w:r>
      <w:r>
        <w:rPr>
          <w:sz w:val="16"/>
        </w:rPr>
        <w:t>IAS 8, a</w:t>
      </w:r>
      <w:r>
        <w:rPr>
          <w:spacing w:val="-1"/>
          <w:sz w:val="16"/>
        </w:rPr>
        <w:t> </w:t>
      </w:r>
      <w:r>
        <w:rPr>
          <w:sz w:val="16"/>
        </w:rPr>
        <w:t>definição</w:t>
      </w:r>
      <w:r>
        <w:rPr>
          <w:spacing w:val="-1"/>
          <w:sz w:val="16"/>
        </w:rPr>
        <w:t> </w:t>
      </w:r>
      <w:r>
        <w:rPr>
          <w:sz w:val="16"/>
        </w:rPr>
        <w:t>de</w:t>
      </w:r>
      <w:r>
        <w:rPr>
          <w:spacing w:val="-2"/>
          <w:sz w:val="16"/>
        </w:rPr>
        <w:t> </w:t>
      </w:r>
      <w:r>
        <w:rPr>
          <w:sz w:val="16"/>
        </w:rPr>
        <w:t>“mudança</w:t>
      </w:r>
      <w:r>
        <w:rPr>
          <w:spacing w:val="-1"/>
          <w:sz w:val="16"/>
        </w:rPr>
        <w:t> </w:t>
      </w:r>
      <w:r>
        <w:rPr>
          <w:sz w:val="16"/>
        </w:rPr>
        <w:t>na</w:t>
      </w:r>
      <w:r>
        <w:rPr>
          <w:spacing w:val="-1"/>
          <w:sz w:val="16"/>
        </w:rPr>
        <w:t> </w:t>
      </w:r>
      <w:r>
        <w:rPr>
          <w:sz w:val="16"/>
        </w:rPr>
        <w:t>estimativa</w:t>
      </w:r>
      <w:r>
        <w:rPr>
          <w:spacing w:val="-1"/>
          <w:sz w:val="16"/>
        </w:rPr>
        <w:t> </w:t>
      </w:r>
      <w:r>
        <w:rPr>
          <w:sz w:val="16"/>
        </w:rPr>
        <w:t>contábil”</w:t>
      </w:r>
      <w:r>
        <w:rPr>
          <w:spacing w:val="-1"/>
          <w:sz w:val="16"/>
        </w:rPr>
        <w:t> </w:t>
      </w:r>
      <w:r>
        <w:rPr>
          <w:sz w:val="16"/>
        </w:rPr>
        <w:t>deixa</w:t>
      </w:r>
      <w:r>
        <w:rPr>
          <w:spacing w:val="40"/>
          <w:sz w:val="16"/>
        </w:rPr>
        <w:t> </w:t>
      </w:r>
      <w:r>
        <w:rPr>
          <w:sz w:val="16"/>
        </w:rPr>
        <w:t>de existir. Em substituição, foi estabelecida definição para o termo “estimativas contábeis”:</w:t>
      </w:r>
      <w:r>
        <w:rPr>
          <w:spacing w:val="40"/>
          <w:sz w:val="16"/>
        </w:rPr>
        <w:t> </w:t>
      </w:r>
      <w:r>
        <w:rPr>
          <w:sz w:val="16"/>
        </w:rPr>
        <w:t>valores monetários nas demonstrações financeiras que estão sujeitos à incerteza de</w:t>
      </w:r>
      <w:r>
        <w:rPr>
          <w:spacing w:val="40"/>
          <w:sz w:val="16"/>
        </w:rPr>
        <w:t> </w:t>
      </w:r>
      <w:r>
        <w:rPr>
          <w:spacing w:val="-2"/>
          <w:sz w:val="16"/>
        </w:rPr>
        <w:t>mensuração.</w:t>
      </w:r>
    </w:p>
    <w:p>
      <w:pPr>
        <w:spacing w:before="74"/>
        <w:ind w:left="247" w:right="4" w:firstLine="0"/>
        <w:jc w:val="both"/>
        <w:rPr>
          <w:sz w:val="16"/>
        </w:rPr>
      </w:pPr>
      <w:r>
        <w:rPr>
          <w:sz w:val="16"/>
        </w:rPr>
        <w:t>As</w:t>
      </w:r>
      <w:r>
        <w:rPr>
          <w:spacing w:val="-5"/>
          <w:sz w:val="16"/>
        </w:rPr>
        <w:t> </w:t>
      </w:r>
      <w:r>
        <w:rPr>
          <w:sz w:val="16"/>
        </w:rPr>
        <w:t>alterações</w:t>
      </w:r>
      <w:r>
        <w:rPr>
          <w:spacing w:val="-2"/>
          <w:sz w:val="16"/>
        </w:rPr>
        <w:t> </w:t>
      </w:r>
      <w:r>
        <w:rPr>
          <w:sz w:val="16"/>
        </w:rPr>
        <w:t>reduziram</w:t>
      </w:r>
      <w:r>
        <w:rPr>
          <w:spacing w:val="-4"/>
          <w:sz w:val="16"/>
        </w:rPr>
        <w:t> </w:t>
      </w:r>
      <w:r>
        <w:rPr>
          <w:sz w:val="16"/>
        </w:rPr>
        <w:t>o</w:t>
      </w:r>
      <w:r>
        <w:rPr>
          <w:spacing w:val="-4"/>
          <w:sz w:val="16"/>
        </w:rPr>
        <w:t> </w:t>
      </w:r>
      <w:r>
        <w:rPr>
          <w:sz w:val="16"/>
        </w:rPr>
        <w:t>escopo</w:t>
      </w:r>
      <w:r>
        <w:rPr>
          <w:spacing w:val="-5"/>
          <w:sz w:val="16"/>
        </w:rPr>
        <w:t> </w:t>
      </w:r>
      <w:r>
        <w:rPr>
          <w:sz w:val="16"/>
        </w:rPr>
        <w:t>da</w:t>
      </w:r>
      <w:r>
        <w:rPr>
          <w:spacing w:val="-2"/>
          <w:sz w:val="16"/>
        </w:rPr>
        <w:t> </w:t>
      </w:r>
      <w:r>
        <w:rPr>
          <w:sz w:val="16"/>
        </w:rPr>
        <w:t>isenção</w:t>
      </w:r>
      <w:r>
        <w:rPr>
          <w:spacing w:val="-4"/>
          <w:sz w:val="16"/>
        </w:rPr>
        <w:t> </w:t>
      </w:r>
      <w:r>
        <w:rPr>
          <w:sz w:val="16"/>
        </w:rPr>
        <w:t>de</w:t>
      </w:r>
      <w:r>
        <w:rPr>
          <w:spacing w:val="-3"/>
          <w:sz w:val="16"/>
        </w:rPr>
        <w:t> </w:t>
      </w:r>
      <w:r>
        <w:rPr>
          <w:sz w:val="16"/>
        </w:rPr>
        <w:t>reconhecimento</w:t>
      </w:r>
      <w:r>
        <w:rPr>
          <w:spacing w:val="-4"/>
          <w:sz w:val="16"/>
        </w:rPr>
        <w:t> </w:t>
      </w:r>
      <w:r>
        <w:rPr>
          <w:sz w:val="16"/>
        </w:rPr>
        <w:t>de</w:t>
      </w:r>
      <w:r>
        <w:rPr>
          <w:spacing w:val="-4"/>
          <w:sz w:val="16"/>
        </w:rPr>
        <w:t> </w:t>
      </w:r>
      <w:r>
        <w:rPr>
          <w:sz w:val="16"/>
        </w:rPr>
        <w:t>ativos fiscais</w:t>
      </w:r>
      <w:r>
        <w:rPr>
          <w:spacing w:val="-5"/>
          <w:sz w:val="16"/>
        </w:rPr>
        <w:t> </w:t>
      </w:r>
      <w:r>
        <w:rPr>
          <w:sz w:val="16"/>
        </w:rPr>
        <w:t>diferidos</w:t>
      </w:r>
      <w:r>
        <w:rPr>
          <w:spacing w:val="-4"/>
          <w:sz w:val="16"/>
        </w:rPr>
        <w:t> </w:t>
      </w:r>
      <w:r>
        <w:rPr>
          <w:sz w:val="16"/>
        </w:rPr>
        <w:t>e</w:t>
      </w:r>
      <w:r>
        <w:rPr>
          <w:spacing w:val="40"/>
          <w:sz w:val="16"/>
        </w:rPr>
        <w:t> </w:t>
      </w:r>
      <w:r>
        <w:rPr>
          <w:sz w:val="16"/>
        </w:rPr>
        <w:t>passivos fiscais diferidos contidas nos parágrafos 15 e 24 do IAS 12 Income Taxes de modo</w:t>
      </w:r>
      <w:r>
        <w:rPr>
          <w:spacing w:val="40"/>
          <w:sz w:val="16"/>
        </w:rPr>
        <w:t> </w:t>
      </w:r>
      <w:r>
        <w:rPr>
          <w:sz w:val="16"/>
        </w:rPr>
        <w:t>que não se aplique mais a transações que, entre outras coisas, no reconhecimento inicial,</w:t>
      </w:r>
      <w:r>
        <w:rPr>
          <w:spacing w:val="40"/>
          <w:sz w:val="16"/>
        </w:rPr>
        <w:t> </w:t>
      </w:r>
      <w:r>
        <w:rPr>
          <w:sz w:val="16"/>
        </w:rPr>
        <w:t>dão origem a diferenças temporárias tributáveis e dedutíveis iguais.</w:t>
      </w:r>
    </w:p>
    <w:p>
      <w:pPr>
        <w:spacing w:before="59"/>
        <w:ind w:left="247" w:right="0" w:firstLine="0"/>
        <w:jc w:val="both"/>
        <w:rPr>
          <w:sz w:val="16"/>
        </w:rPr>
      </w:pPr>
      <w:r>
        <w:rPr>
          <w:sz w:val="16"/>
        </w:rPr>
        <w:t>Adiciona requerimentos que especificam que o vendedor‐arrendatário deve mensurar</w:t>
      </w:r>
      <w:r>
        <w:rPr>
          <w:spacing w:val="40"/>
          <w:sz w:val="16"/>
        </w:rPr>
        <w:t> </w:t>
      </w:r>
      <w:r>
        <w:rPr>
          <w:sz w:val="16"/>
        </w:rPr>
        <w:t>subsequentemente o passivo de arrendamento derivado da transferência de ativo ‐ que</w:t>
      </w:r>
      <w:r>
        <w:rPr>
          <w:spacing w:val="40"/>
          <w:sz w:val="16"/>
        </w:rPr>
        <w:t> </w:t>
      </w:r>
      <w:r>
        <w:rPr>
          <w:sz w:val="16"/>
        </w:rPr>
        <w:t>atende aos requisitos do IFRS 15 para ser contabilizada como venda ‐ e retroarrendamento</w:t>
      </w:r>
    </w:p>
    <w:p>
      <w:pPr>
        <w:spacing w:before="54"/>
        <w:ind w:left="247" w:right="8" w:firstLine="0"/>
        <w:jc w:val="both"/>
        <w:rPr>
          <w:sz w:val="16"/>
        </w:rPr>
      </w:pPr>
      <w:r>
        <w:rPr>
          <w:sz w:val="16"/>
        </w:rPr>
        <w:t>As emendas estabelecem que o passivo deve ser classificado como circulante quando a</w:t>
      </w:r>
      <w:r>
        <w:rPr>
          <w:spacing w:val="40"/>
          <w:sz w:val="16"/>
        </w:rPr>
        <w:t> </w:t>
      </w:r>
      <w:r>
        <w:rPr>
          <w:sz w:val="16"/>
        </w:rPr>
        <w:t>entidade não tem o direito no final do período de reporte de diferir a liquidação do passivo</w:t>
      </w:r>
      <w:r>
        <w:rPr>
          <w:spacing w:val="40"/>
          <w:sz w:val="16"/>
        </w:rPr>
        <w:t> </w:t>
      </w:r>
      <w:r>
        <w:rPr>
          <w:sz w:val="16"/>
        </w:rPr>
        <w:t>durante pelo menos doze meses após o período de reporte.</w:t>
      </w:r>
    </w:p>
    <w:p>
      <w:pPr>
        <w:spacing w:before="194"/>
        <w:ind w:left="247" w:right="4" w:firstLine="0"/>
        <w:jc w:val="both"/>
        <w:rPr>
          <w:sz w:val="16"/>
        </w:rPr>
      </w:pPr>
      <w:r>
        <w:rPr>
          <w:sz w:val="16"/>
        </w:rPr>
        <w:t>Entre outras orientações, as emendas determinam que a classificação de um passivo não é</w:t>
      </w:r>
      <w:r>
        <w:rPr>
          <w:spacing w:val="40"/>
          <w:sz w:val="16"/>
        </w:rPr>
        <w:t> </w:t>
      </w:r>
      <w:r>
        <w:rPr>
          <w:sz w:val="16"/>
        </w:rPr>
        <w:t>afetada pela probabilidade de exercício do direito de diferir a liquidação do passivo.</w:t>
      </w:r>
      <w:r>
        <w:rPr>
          <w:spacing w:val="40"/>
          <w:sz w:val="16"/>
        </w:rPr>
        <w:t> </w:t>
      </w:r>
      <w:r>
        <w:rPr>
          <w:sz w:val="16"/>
        </w:rPr>
        <w:t>Adicionalmente, segundo as emendas, apenas covenants cujo cumprimento é obrigatório</w:t>
      </w:r>
      <w:r>
        <w:rPr>
          <w:spacing w:val="40"/>
          <w:sz w:val="16"/>
        </w:rPr>
        <w:t> </w:t>
      </w:r>
      <w:r>
        <w:rPr>
          <w:sz w:val="16"/>
        </w:rPr>
        <w:t>antes</w:t>
      </w:r>
      <w:r>
        <w:rPr>
          <w:spacing w:val="-9"/>
          <w:sz w:val="16"/>
        </w:rPr>
        <w:t> </w:t>
      </w:r>
      <w:r>
        <w:rPr>
          <w:sz w:val="16"/>
        </w:rPr>
        <w:t>do,</w:t>
      </w:r>
      <w:r>
        <w:rPr>
          <w:spacing w:val="-7"/>
          <w:sz w:val="16"/>
        </w:rPr>
        <w:t> </w:t>
      </w:r>
      <w:r>
        <w:rPr>
          <w:sz w:val="16"/>
        </w:rPr>
        <w:t>ou,</w:t>
      </w:r>
      <w:r>
        <w:rPr>
          <w:spacing w:val="-8"/>
          <w:sz w:val="16"/>
        </w:rPr>
        <w:t> </w:t>
      </w:r>
      <w:r>
        <w:rPr>
          <w:sz w:val="16"/>
        </w:rPr>
        <w:t>no</w:t>
      </w:r>
      <w:r>
        <w:rPr>
          <w:spacing w:val="-9"/>
          <w:sz w:val="16"/>
        </w:rPr>
        <w:t> </w:t>
      </w:r>
      <w:r>
        <w:rPr>
          <w:sz w:val="16"/>
        </w:rPr>
        <w:t>final</w:t>
      </w:r>
      <w:r>
        <w:rPr>
          <w:spacing w:val="-8"/>
          <w:sz w:val="16"/>
        </w:rPr>
        <w:t> </w:t>
      </w:r>
      <w:r>
        <w:rPr>
          <w:sz w:val="16"/>
        </w:rPr>
        <w:t>do</w:t>
      </w:r>
      <w:r>
        <w:rPr>
          <w:spacing w:val="-9"/>
          <w:sz w:val="16"/>
        </w:rPr>
        <w:t> </w:t>
      </w:r>
      <w:r>
        <w:rPr>
          <w:sz w:val="16"/>
        </w:rPr>
        <w:t>período</w:t>
      </w:r>
      <w:r>
        <w:rPr>
          <w:spacing w:val="-8"/>
          <w:sz w:val="16"/>
        </w:rPr>
        <w:t> </w:t>
      </w:r>
      <w:r>
        <w:rPr>
          <w:sz w:val="16"/>
        </w:rPr>
        <w:t>de</w:t>
      </w:r>
      <w:r>
        <w:rPr>
          <w:spacing w:val="-5"/>
          <w:sz w:val="16"/>
        </w:rPr>
        <w:t> </w:t>
      </w:r>
      <w:r>
        <w:rPr>
          <w:sz w:val="16"/>
        </w:rPr>
        <w:t>reporte</w:t>
      </w:r>
      <w:r>
        <w:rPr>
          <w:spacing w:val="-8"/>
          <w:sz w:val="16"/>
        </w:rPr>
        <w:t> </w:t>
      </w:r>
      <w:r>
        <w:rPr>
          <w:sz w:val="16"/>
        </w:rPr>
        <w:t>devem</w:t>
      </w:r>
      <w:r>
        <w:rPr>
          <w:spacing w:val="-7"/>
          <w:sz w:val="16"/>
        </w:rPr>
        <w:t> </w:t>
      </w:r>
      <w:r>
        <w:rPr>
          <w:sz w:val="16"/>
        </w:rPr>
        <w:t>afetar</w:t>
      </w:r>
      <w:r>
        <w:rPr>
          <w:spacing w:val="-8"/>
          <w:sz w:val="16"/>
        </w:rPr>
        <w:t> </w:t>
      </w:r>
      <w:r>
        <w:rPr>
          <w:sz w:val="16"/>
        </w:rPr>
        <w:t>a</w:t>
      </w:r>
      <w:r>
        <w:rPr>
          <w:spacing w:val="-8"/>
          <w:sz w:val="16"/>
        </w:rPr>
        <w:t> </w:t>
      </w:r>
      <w:r>
        <w:rPr>
          <w:sz w:val="16"/>
        </w:rPr>
        <w:t>classificação</w:t>
      </w:r>
      <w:r>
        <w:rPr>
          <w:spacing w:val="-7"/>
          <w:sz w:val="16"/>
        </w:rPr>
        <w:t> </w:t>
      </w:r>
      <w:r>
        <w:rPr>
          <w:sz w:val="16"/>
        </w:rPr>
        <w:t>de</w:t>
      </w:r>
      <w:r>
        <w:rPr>
          <w:spacing w:val="-6"/>
          <w:sz w:val="16"/>
        </w:rPr>
        <w:t> </w:t>
      </w:r>
      <w:r>
        <w:rPr>
          <w:sz w:val="16"/>
        </w:rPr>
        <w:t>um</w:t>
      </w:r>
      <w:r>
        <w:rPr>
          <w:spacing w:val="-8"/>
          <w:sz w:val="16"/>
        </w:rPr>
        <w:t> </w:t>
      </w:r>
      <w:r>
        <w:rPr>
          <w:sz w:val="16"/>
        </w:rPr>
        <w:t>passivo</w:t>
      </w:r>
      <w:r>
        <w:rPr>
          <w:spacing w:val="-6"/>
          <w:sz w:val="16"/>
        </w:rPr>
        <w:t> </w:t>
      </w:r>
      <w:r>
        <w:rPr>
          <w:sz w:val="16"/>
        </w:rPr>
        <w:t>como</w:t>
      </w:r>
      <w:r>
        <w:rPr>
          <w:spacing w:val="40"/>
          <w:sz w:val="16"/>
        </w:rPr>
        <w:t> </w:t>
      </w:r>
      <w:r>
        <w:rPr>
          <w:sz w:val="16"/>
        </w:rPr>
        <w:t>circulante ou não circulante.</w:t>
      </w:r>
    </w:p>
    <w:p>
      <w:pPr>
        <w:spacing w:before="67"/>
        <w:ind w:left="212" w:right="324" w:firstLine="0"/>
        <w:jc w:val="left"/>
        <w:rPr>
          <w:sz w:val="16"/>
        </w:rPr>
      </w:pPr>
      <w:r>
        <w:rPr/>
        <w:br w:type="column"/>
      </w:r>
      <w:r>
        <w:rPr>
          <w:sz w:val="16"/>
        </w:rPr>
        <w:t>2023,</w:t>
      </w:r>
      <w:r>
        <w:rPr>
          <w:spacing w:val="-7"/>
          <w:sz w:val="16"/>
        </w:rPr>
        <w:t> </w:t>
      </w:r>
      <w:r>
        <w:rPr>
          <w:sz w:val="16"/>
        </w:rPr>
        <w:t>aplicação</w:t>
      </w:r>
      <w:r>
        <w:rPr>
          <w:spacing w:val="40"/>
          <w:sz w:val="16"/>
        </w:rPr>
        <w:t> </w:t>
      </w:r>
      <w:r>
        <w:rPr>
          <w:sz w:val="16"/>
        </w:rPr>
        <w:t>retrospectiva</w:t>
      </w:r>
      <w:r>
        <w:rPr>
          <w:spacing w:val="-10"/>
          <w:sz w:val="16"/>
        </w:rPr>
        <w:t> </w:t>
      </w:r>
      <w:r>
        <w:rPr>
          <w:sz w:val="16"/>
        </w:rPr>
        <w:t>com</w:t>
      </w:r>
      <w:r>
        <w:rPr>
          <w:spacing w:val="40"/>
          <w:sz w:val="16"/>
        </w:rPr>
        <w:t> </w:t>
      </w:r>
      <w:r>
        <w:rPr>
          <w:sz w:val="16"/>
        </w:rPr>
        <w:t>regras</w:t>
      </w:r>
      <w:r>
        <w:rPr>
          <w:spacing w:val="-6"/>
          <w:sz w:val="16"/>
        </w:rPr>
        <w:t> </w:t>
      </w:r>
      <w:r>
        <w:rPr>
          <w:spacing w:val="-2"/>
          <w:sz w:val="16"/>
        </w:rPr>
        <w:t>específicas.</w:t>
      </w:r>
    </w:p>
    <w:p>
      <w:pPr>
        <w:pStyle w:val="BodyText"/>
        <w:spacing w:before="112"/>
        <w:rPr>
          <w:sz w:val="16"/>
        </w:rPr>
      </w:pPr>
    </w:p>
    <w:p>
      <w:pPr>
        <w:spacing w:before="1"/>
        <w:ind w:left="212" w:right="324" w:hanging="1"/>
        <w:jc w:val="left"/>
        <w:rPr>
          <w:sz w:val="16"/>
        </w:rPr>
      </w:pPr>
      <w:r>
        <w:rPr>
          <w:sz w:val="16"/>
        </w:rPr>
        <w:t>1º de janeiro de</w:t>
      </w:r>
      <w:r>
        <w:rPr>
          <w:spacing w:val="40"/>
          <w:sz w:val="16"/>
        </w:rPr>
        <w:t> </w:t>
      </w:r>
      <w:r>
        <w:rPr>
          <w:sz w:val="16"/>
        </w:rPr>
        <w:t>2023,</w:t>
      </w:r>
      <w:r>
        <w:rPr>
          <w:spacing w:val="-7"/>
          <w:sz w:val="16"/>
        </w:rPr>
        <w:t> </w:t>
      </w:r>
      <w:r>
        <w:rPr>
          <w:sz w:val="16"/>
        </w:rPr>
        <w:t>aplicação</w:t>
      </w:r>
      <w:r>
        <w:rPr>
          <w:spacing w:val="40"/>
          <w:sz w:val="16"/>
        </w:rPr>
        <w:t> </w:t>
      </w:r>
      <w:r>
        <w:rPr>
          <w:sz w:val="16"/>
        </w:rPr>
        <w:t>prospectiva</w:t>
      </w:r>
      <w:r>
        <w:rPr>
          <w:spacing w:val="-7"/>
          <w:sz w:val="16"/>
        </w:rPr>
        <w:t> </w:t>
      </w:r>
      <w:r>
        <w:rPr>
          <w:sz w:val="16"/>
        </w:rPr>
        <w:t>para</w:t>
      </w:r>
      <w:r>
        <w:rPr>
          <w:spacing w:val="40"/>
          <w:sz w:val="16"/>
        </w:rPr>
        <w:t> </w:t>
      </w:r>
      <w:r>
        <w:rPr>
          <w:sz w:val="16"/>
        </w:rPr>
        <w:t>as</w:t>
      </w:r>
      <w:r>
        <w:rPr>
          <w:spacing w:val="-10"/>
          <w:sz w:val="16"/>
        </w:rPr>
        <w:t> </w:t>
      </w:r>
      <w:r>
        <w:rPr>
          <w:sz w:val="16"/>
        </w:rPr>
        <w:t>emendas</w:t>
      </w:r>
      <w:r>
        <w:rPr>
          <w:spacing w:val="-9"/>
          <w:sz w:val="16"/>
        </w:rPr>
        <w:t> </w:t>
      </w:r>
      <w:r>
        <w:rPr>
          <w:sz w:val="16"/>
        </w:rPr>
        <w:t>ao</w:t>
      </w:r>
      <w:r>
        <w:rPr>
          <w:spacing w:val="-9"/>
          <w:sz w:val="16"/>
        </w:rPr>
        <w:t> </w:t>
      </w:r>
      <w:r>
        <w:rPr>
          <w:sz w:val="16"/>
        </w:rPr>
        <w:t>IAS</w:t>
      </w:r>
      <w:r>
        <w:rPr>
          <w:spacing w:val="40"/>
          <w:sz w:val="16"/>
        </w:rPr>
        <w:t> </w:t>
      </w:r>
      <w:r>
        <w:rPr>
          <w:spacing w:val="-6"/>
          <w:sz w:val="16"/>
        </w:rPr>
        <w:t>1.</w:t>
      </w:r>
    </w:p>
    <w:p>
      <w:pPr>
        <w:pStyle w:val="BodyText"/>
        <w:spacing w:before="20"/>
        <w:rPr>
          <w:sz w:val="16"/>
        </w:rPr>
      </w:pPr>
    </w:p>
    <w:p>
      <w:pPr>
        <w:spacing w:before="1"/>
        <w:ind w:left="212" w:right="492" w:firstLine="0"/>
        <w:jc w:val="both"/>
        <w:rPr>
          <w:sz w:val="16"/>
        </w:rPr>
      </w:pPr>
      <w:r>
        <w:rPr>
          <w:sz w:val="16"/>
        </w:rPr>
        <w:t>1º</w:t>
      </w:r>
      <w:r>
        <w:rPr>
          <w:spacing w:val="-10"/>
          <w:sz w:val="16"/>
        </w:rPr>
        <w:t> </w:t>
      </w:r>
      <w:r>
        <w:rPr>
          <w:sz w:val="16"/>
        </w:rPr>
        <w:t>de</w:t>
      </w:r>
      <w:r>
        <w:rPr>
          <w:spacing w:val="-9"/>
          <w:sz w:val="16"/>
        </w:rPr>
        <w:t> </w:t>
      </w:r>
      <w:r>
        <w:rPr>
          <w:sz w:val="16"/>
        </w:rPr>
        <w:t>janeiro</w:t>
      </w:r>
      <w:r>
        <w:rPr>
          <w:spacing w:val="-9"/>
          <w:sz w:val="16"/>
        </w:rPr>
        <w:t> </w:t>
      </w:r>
      <w:r>
        <w:rPr>
          <w:sz w:val="16"/>
        </w:rPr>
        <w:t>de</w:t>
      </w:r>
      <w:r>
        <w:rPr>
          <w:spacing w:val="40"/>
          <w:sz w:val="16"/>
        </w:rPr>
        <w:t> </w:t>
      </w:r>
      <w:r>
        <w:rPr>
          <w:sz w:val="16"/>
        </w:rPr>
        <w:t>2023, aplicação</w:t>
      </w:r>
      <w:r>
        <w:rPr>
          <w:spacing w:val="40"/>
          <w:sz w:val="16"/>
        </w:rPr>
        <w:t> </w:t>
      </w:r>
      <w:r>
        <w:rPr>
          <w:spacing w:val="-2"/>
          <w:sz w:val="16"/>
        </w:rPr>
        <w:t>prospectiva.</w:t>
      </w:r>
    </w:p>
    <w:p>
      <w:pPr>
        <w:spacing w:before="170"/>
        <w:ind w:left="212" w:right="324" w:hanging="1"/>
        <w:jc w:val="left"/>
        <w:rPr>
          <w:sz w:val="16"/>
        </w:rPr>
      </w:pPr>
      <w:r>
        <w:rPr>
          <w:sz w:val="16"/>
        </w:rPr>
        <w:t>1º de janeiro de</w:t>
      </w:r>
      <w:r>
        <w:rPr>
          <w:spacing w:val="40"/>
          <w:sz w:val="16"/>
        </w:rPr>
        <w:t> </w:t>
      </w:r>
      <w:r>
        <w:rPr>
          <w:sz w:val="16"/>
        </w:rPr>
        <w:t>2023,</w:t>
      </w:r>
      <w:r>
        <w:rPr>
          <w:spacing w:val="-7"/>
          <w:sz w:val="16"/>
        </w:rPr>
        <w:t> </w:t>
      </w:r>
      <w:r>
        <w:rPr>
          <w:sz w:val="16"/>
        </w:rPr>
        <w:t>aplicação</w:t>
      </w:r>
      <w:r>
        <w:rPr>
          <w:spacing w:val="40"/>
          <w:sz w:val="16"/>
        </w:rPr>
        <w:t> </w:t>
      </w:r>
      <w:r>
        <w:rPr>
          <w:sz w:val="16"/>
        </w:rPr>
        <w:t>retrospectiva</w:t>
      </w:r>
      <w:r>
        <w:rPr>
          <w:spacing w:val="-10"/>
          <w:sz w:val="16"/>
        </w:rPr>
        <w:t> </w:t>
      </w:r>
      <w:r>
        <w:rPr>
          <w:sz w:val="16"/>
        </w:rPr>
        <w:t>com</w:t>
      </w:r>
      <w:r>
        <w:rPr>
          <w:spacing w:val="40"/>
          <w:sz w:val="16"/>
        </w:rPr>
        <w:t> </w:t>
      </w:r>
      <w:r>
        <w:rPr>
          <w:sz w:val="16"/>
        </w:rPr>
        <w:t>regras</w:t>
      </w:r>
      <w:r>
        <w:rPr>
          <w:spacing w:val="-6"/>
          <w:sz w:val="16"/>
        </w:rPr>
        <w:t> </w:t>
      </w:r>
      <w:r>
        <w:rPr>
          <w:spacing w:val="-2"/>
          <w:sz w:val="16"/>
        </w:rPr>
        <w:t>específicas.</w:t>
      </w:r>
    </w:p>
    <w:p>
      <w:pPr>
        <w:spacing w:line="237" w:lineRule="auto" w:before="73"/>
        <w:ind w:left="212" w:right="492" w:firstLine="0"/>
        <w:jc w:val="both"/>
        <w:rPr>
          <w:sz w:val="16"/>
        </w:rPr>
      </w:pPr>
      <w:r>
        <w:rPr>
          <w:sz w:val="16"/>
        </w:rPr>
        <w:t>1º</w:t>
      </w:r>
      <w:r>
        <w:rPr>
          <w:spacing w:val="-10"/>
          <w:sz w:val="16"/>
        </w:rPr>
        <w:t> </w:t>
      </w:r>
      <w:r>
        <w:rPr>
          <w:sz w:val="16"/>
        </w:rPr>
        <w:t>de</w:t>
      </w:r>
      <w:r>
        <w:rPr>
          <w:spacing w:val="-9"/>
          <w:sz w:val="16"/>
        </w:rPr>
        <w:t> </w:t>
      </w:r>
      <w:r>
        <w:rPr>
          <w:sz w:val="16"/>
        </w:rPr>
        <w:t>janeiro</w:t>
      </w:r>
      <w:r>
        <w:rPr>
          <w:spacing w:val="-9"/>
          <w:sz w:val="16"/>
        </w:rPr>
        <w:t> </w:t>
      </w:r>
      <w:r>
        <w:rPr>
          <w:sz w:val="16"/>
        </w:rPr>
        <w:t>de</w:t>
      </w:r>
      <w:r>
        <w:rPr>
          <w:spacing w:val="40"/>
          <w:sz w:val="16"/>
        </w:rPr>
        <w:t> </w:t>
      </w:r>
      <w:r>
        <w:rPr>
          <w:sz w:val="16"/>
        </w:rPr>
        <w:t>2024, aplicação</w:t>
      </w:r>
      <w:r>
        <w:rPr>
          <w:spacing w:val="40"/>
          <w:sz w:val="16"/>
        </w:rPr>
        <w:t> </w:t>
      </w:r>
      <w:r>
        <w:rPr>
          <w:spacing w:val="-2"/>
          <w:sz w:val="16"/>
        </w:rPr>
        <w:t>retrospectiva.</w:t>
      </w:r>
    </w:p>
    <w:p>
      <w:pPr>
        <w:pStyle w:val="BodyText"/>
        <w:rPr>
          <w:sz w:val="16"/>
        </w:rPr>
      </w:pPr>
    </w:p>
    <w:p>
      <w:pPr>
        <w:pStyle w:val="BodyText"/>
        <w:rPr>
          <w:sz w:val="16"/>
        </w:rPr>
      </w:pPr>
    </w:p>
    <w:p>
      <w:pPr>
        <w:pStyle w:val="BodyText"/>
        <w:spacing w:before="139"/>
        <w:rPr>
          <w:sz w:val="16"/>
        </w:rPr>
      </w:pPr>
    </w:p>
    <w:p>
      <w:pPr>
        <w:spacing w:before="0"/>
        <w:ind w:left="212" w:right="492" w:hanging="1"/>
        <w:jc w:val="both"/>
        <w:rPr>
          <w:sz w:val="16"/>
        </w:rPr>
      </w:pPr>
      <w:r>
        <w:rPr>
          <w:sz w:val="16"/>
        </w:rPr>
        <w:t>1º</w:t>
      </w:r>
      <w:r>
        <w:rPr>
          <w:spacing w:val="-10"/>
          <w:sz w:val="16"/>
        </w:rPr>
        <w:t> </w:t>
      </w:r>
      <w:r>
        <w:rPr>
          <w:sz w:val="16"/>
        </w:rPr>
        <w:t>de</w:t>
      </w:r>
      <w:r>
        <w:rPr>
          <w:spacing w:val="-9"/>
          <w:sz w:val="16"/>
        </w:rPr>
        <w:t> </w:t>
      </w:r>
      <w:r>
        <w:rPr>
          <w:sz w:val="16"/>
        </w:rPr>
        <w:t>janeiro</w:t>
      </w:r>
      <w:r>
        <w:rPr>
          <w:spacing w:val="-9"/>
          <w:sz w:val="16"/>
        </w:rPr>
        <w:t> </w:t>
      </w:r>
      <w:r>
        <w:rPr>
          <w:sz w:val="16"/>
        </w:rPr>
        <w:t>de</w:t>
      </w:r>
      <w:r>
        <w:rPr>
          <w:spacing w:val="40"/>
          <w:sz w:val="16"/>
        </w:rPr>
        <w:t> </w:t>
      </w:r>
      <w:r>
        <w:rPr>
          <w:sz w:val="16"/>
        </w:rPr>
        <w:t>2024, aplicação</w:t>
      </w:r>
      <w:r>
        <w:rPr>
          <w:spacing w:val="40"/>
          <w:sz w:val="16"/>
        </w:rPr>
        <w:t> </w:t>
      </w:r>
      <w:r>
        <w:rPr>
          <w:spacing w:val="-2"/>
          <w:sz w:val="16"/>
        </w:rPr>
        <w:t>retrospectiva.</w:t>
      </w:r>
    </w:p>
    <w:p>
      <w:pPr>
        <w:spacing w:after="0"/>
        <w:jc w:val="both"/>
        <w:rPr>
          <w:sz w:val="16"/>
        </w:rPr>
        <w:sectPr>
          <w:type w:val="continuous"/>
          <w:pgSz w:w="11910" w:h="16840"/>
          <w:pgMar w:header="637" w:footer="630" w:top="1940" w:bottom="280" w:left="700" w:right="480"/>
          <w:cols w:num="3" w:equalWidth="0">
            <w:col w:w="2653" w:space="40"/>
            <w:col w:w="6245" w:space="39"/>
            <w:col w:w="1753"/>
          </w:cols>
        </w:sectPr>
      </w:pPr>
    </w:p>
    <w:p>
      <w:pPr>
        <w:pStyle w:val="BodyText"/>
        <w:spacing w:before="10"/>
        <w:rPr>
          <w:sz w:val="15"/>
        </w:rPr>
      </w:pPr>
    </w:p>
    <w:p>
      <w:pPr>
        <w:pStyle w:val="BodyText"/>
        <w:spacing w:line="30" w:lineRule="exact"/>
        <w:ind w:left="339"/>
        <w:rPr>
          <w:sz w:val="3"/>
        </w:rPr>
      </w:pPr>
      <w:r>
        <w:rPr>
          <w:position w:val="0"/>
          <w:sz w:val="3"/>
        </w:rPr>
        <mc:AlternateContent>
          <mc:Choice Requires="wps">
            <w:drawing>
              <wp:inline distT="0" distB="0" distL="0" distR="0">
                <wp:extent cx="6442075" cy="19050"/>
                <wp:effectExtent l="0" t="0" r="0" b="0"/>
                <wp:docPr id="68" name="Group 68"/>
                <wp:cNvGraphicFramePr>
                  <a:graphicFrameLocks/>
                </wp:cNvGraphicFramePr>
                <a:graphic>
                  <a:graphicData uri="http://schemas.microsoft.com/office/word/2010/wordprocessingGroup">
                    <wpg:wgp>
                      <wpg:cNvPr id="68" name="Group 68"/>
                      <wpg:cNvGrpSpPr/>
                      <wpg:grpSpPr>
                        <a:xfrm>
                          <a:off x="0" y="0"/>
                          <a:ext cx="6442075" cy="19050"/>
                          <a:chExt cx="6442075" cy="19050"/>
                        </a:xfrm>
                      </wpg:grpSpPr>
                      <wps:wsp>
                        <wps:cNvPr id="69" name="Graphic 69"/>
                        <wps:cNvSpPr/>
                        <wps:spPr>
                          <a:xfrm>
                            <a:off x="0" y="0"/>
                            <a:ext cx="6442075" cy="19050"/>
                          </a:xfrm>
                          <a:custGeom>
                            <a:avLst/>
                            <a:gdLst/>
                            <a:ahLst/>
                            <a:cxnLst/>
                            <a:rect l="l" t="t" r="r" b="b"/>
                            <a:pathLst>
                              <a:path w="6442075" h="19050">
                                <a:moveTo>
                                  <a:pt x="6441948" y="0"/>
                                </a:moveTo>
                                <a:lnTo>
                                  <a:pt x="6441948" y="0"/>
                                </a:lnTo>
                                <a:lnTo>
                                  <a:pt x="0" y="0"/>
                                </a:lnTo>
                                <a:lnTo>
                                  <a:pt x="0" y="19050"/>
                                </a:lnTo>
                                <a:lnTo>
                                  <a:pt x="6441948" y="19050"/>
                                </a:lnTo>
                                <a:lnTo>
                                  <a:pt x="644194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07.25pt;height:1.5pt;mso-position-horizontal-relative:char;mso-position-vertical-relative:line" id="docshapegroup53" coordorigin="0,0" coordsize="10145,30">
                <v:rect style="position:absolute;left:0;top:0;width:10145;height:30" id="docshape54" filled="true" fillcolor="#000000" stroked="false">
                  <v:fill type="solid"/>
                </v:rect>
              </v:group>
            </w:pict>
          </mc:Fallback>
        </mc:AlternateContent>
      </w:r>
      <w:r>
        <w:rPr>
          <w:position w:val="0"/>
          <w:sz w:val="3"/>
        </w:rPr>
      </w:r>
    </w:p>
    <w:p>
      <w:pPr>
        <w:pStyle w:val="BodyText"/>
        <w:spacing w:before="232"/>
        <w:ind w:left="151" w:right="271"/>
      </w:pPr>
      <w:r>
        <w:rPr/>
        <w:t>Em</w:t>
      </w:r>
      <w:r>
        <w:rPr>
          <w:spacing w:val="-3"/>
        </w:rPr>
        <w:t> </w:t>
      </w:r>
      <w:r>
        <w:rPr/>
        <w:t>relação</w:t>
      </w:r>
      <w:r>
        <w:rPr>
          <w:spacing w:val="-2"/>
        </w:rPr>
        <w:t> </w:t>
      </w:r>
      <w:r>
        <w:rPr/>
        <w:t>aos</w:t>
      </w:r>
      <w:r>
        <w:rPr>
          <w:spacing w:val="-2"/>
        </w:rPr>
        <w:t> </w:t>
      </w:r>
      <w:r>
        <w:rPr/>
        <w:t>normativos</w:t>
      </w:r>
      <w:r>
        <w:rPr>
          <w:spacing w:val="-3"/>
        </w:rPr>
        <w:t> </w:t>
      </w:r>
      <w:r>
        <w:rPr/>
        <w:t>em</w:t>
      </w:r>
      <w:r>
        <w:rPr>
          <w:spacing w:val="-3"/>
        </w:rPr>
        <w:t> </w:t>
      </w:r>
      <w:r>
        <w:rPr/>
        <w:t>vigor</w:t>
      </w:r>
      <w:r>
        <w:rPr>
          <w:spacing w:val="-3"/>
        </w:rPr>
        <w:t> </w:t>
      </w:r>
      <w:r>
        <w:rPr/>
        <w:t>a partir</w:t>
      </w:r>
      <w:r>
        <w:rPr>
          <w:spacing w:val="-3"/>
        </w:rPr>
        <w:t> </w:t>
      </w:r>
      <w:r>
        <w:rPr/>
        <w:t>de</w:t>
      </w:r>
      <w:r>
        <w:rPr>
          <w:spacing w:val="-2"/>
        </w:rPr>
        <w:t> </w:t>
      </w:r>
      <w:r>
        <w:rPr/>
        <w:t>1º</w:t>
      </w:r>
      <w:r>
        <w:rPr>
          <w:spacing w:val="-2"/>
        </w:rPr>
        <w:t> </w:t>
      </w:r>
      <w:r>
        <w:rPr/>
        <w:t>de</w:t>
      </w:r>
      <w:r>
        <w:rPr>
          <w:spacing w:val="-3"/>
        </w:rPr>
        <w:t> </w:t>
      </w:r>
      <w:r>
        <w:rPr/>
        <w:t>janeiro</w:t>
      </w:r>
      <w:r>
        <w:rPr>
          <w:spacing w:val="-2"/>
        </w:rPr>
        <w:t> </w:t>
      </w:r>
      <w:r>
        <w:rPr/>
        <w:t>de</w:t>
      </w:r>
      <w:r>
        <w:rPr>
          <w:spacing w:val="-3"/>
        </w:rPr>
        <w:t> </w:t>
      </w:r>
      <w:r>
        <w:rPr/>
        <w:t>2023,</w:t>
      </w:r>
      <w:r>
        <w:rPr>
          <w:spacing w:val="-3"/>
        </w:rPr>
        <w:t> </w:t>
      </w:r>
      <w:r>
        <w:rPr/>
        <w:t>a</w:t>
      </w:r>
      <w:r>
        <w:rPr>
          <w:spacing w:val="-3"/>
        </w:rPr>
        <w:t> </w:t>
      </w:r>
      <w:r>
        <w:rPr/>
        <w:t>Companhia</w:t>
      </w:r>
      <w:r>
        <w:rPr>
          <w:spacing w:val="-3"/>
        </w:rPr>
        <w:t> </w:t>
      </w:r>
      <w:r>
        <w:rPr/>
        <w:t>não</w:t>
      </w:r>
      <w:r>
        <w:rPr>
          <w:spacing w:val="-2"/>
        </w:rPr>
        <w:t> </w:t>
      </w:r>
      <w:r>
        <w:rPr/>
        <w:t>estima</w:t>
      </w:r>
      <w:r>
        <w:rPr>
          <w:spacing w:val="-2"/>
        </w:rPr>
        <w:t> </w:t>
      </w:r>
      <w:r>
        <w:rPr/>
        <w:t>impactos</w:t>
      </w:r>
      <w:r>
        <w:rPr>
          <w:spacing w:val="-2"/>
        </w:rPr>
        <w:t> </w:t>
      </w:r>
      <w:r>
        <w:rPr/>
        <w:t>materiais da aplicação inicial em suas demonstrações financeiras.</w:t>
      </w:r>
    </w:p>
    <w:p>
      <w:pPr>
        <w:pStyle w:val="BodyText"/>
        <w:spacing w:before="8"/>
      </w:pPr>
    </w:p>
    <w:p>
      <w:pPr>
        <w:pStyle w:val="BodyText"/>
        <w:ind w:left="151" w:right="271"/>
      </w:pPr>
      <w:r>
        <w:rPr/>
        <w:t>Quanto</w:t>
      </w:r>
      <w:r>
        <w:rPr>
          <w:spacing w:val="-7"/>
        </w:rPr>
        <w:t> </w:t>
      </w:r>
      <w:r>
        <w:rPr/>
        <w:t>aos</w:t>
      </w:r>
      <w:r>
        <w:rPr>
          <w:spacing w:val="-7"/>
        </w:rPr>
        <w:t> </w:t>
      </w:r>
      <w:r>
        <w:rPr/>
        <w:t>normativos</w:t>
      </w:r>
      <w:r>
        <w:rPr>
          <w:spacing w:val="-6"/>
        </w:rPr>
        <w:t> </w:t>
      </w:r>
      <w:r>
        <w:rPr/>
        <w:t>que</w:t>
      </w:r>
      <w:r>
        <w:rPr>
          <w:spacing w:val="-7"/>
        </w:rPr>
        <w:t> </w:t>
      </w:r>
      <w:r>
        <w:rPr/>
        <w:t>entrarão</w:t>
      </w:r>
      <w:r>
        <w:rPr>
          <w:spacing w:val="-7"/>
        </w:rPr>
        <w:t> </w:t>
      </w:r>
      <w:r>
        <w:rPr/>
        <w:t>em</w:t>
      </w:r>
      <w:r>
        <w:rPr>
          <w:spacing w:val="-8"/>
        </w:rPr>
        <w:t> </w:t>
      </w:r>
      <w:r>
        <w:rPr/>
        <w:t>vigor</w:t>
      </w:r>
      <w:r>
        <w:rPr>
          <w:spacing w:val="-9"/>
        </w:rPr>
        <w:t> </w:t>
      </w:r>
      <w:r>
        <w:rPr/>
        <w:t>a</w:t>
      </w:r>
      <w:r>
        <w:rPr>
          <w:spacing w:val="-5"/>
        </w:rPr>
        <w:t> </w:t>
      </w:r>
      <w:r>
        <w:rPr/>
        <w:t>partir</w:t>
      </w:r>
      <w:r>
        <w:rPr>
          <w:spacing w:val="-7"/>
        </w:rPr>
        <w:t> </w:t>
      </w:r>
      <w:r>
        <w:rPr/>
        <w:t>de</w:t>
      </w:r>
      <w:r>
        <w:rPr>
          <w:spacing w:val="-8"/>
        </w:rPr>
        <w:t> </w:t>
      </w:r>
      <w:r>
        <w:rPr/>
        <w:t>1º</w:t>
      </w:r>
      <w:r>
        <w:rPr>
          <w:spacing w:val="-6"/>
        </w:rPr>
        <w:t> </w:t>
      </w:r>
      <w:r>
        <w:rPr/>
        <w:t>de</w:t>
      </w:r>
      <w:r>
        <w:rPr>
          <w:spacing w:val="-6"/>
        </w:rPr>
        <w:t> </w:t>
      </w:r>
      <w:r>
        <w:rPr/>
        <w:t>janeiro</w:t>
      </w:r>
      <w:r>
        <w:rPr>
          <w:spacing w:val="-5"/>
        </w:rPr>
        <w:t> </w:t>
      </w:r>
      <w:r>
        <w:rPr/>
        <w:t>de</w:t>
      </w:r>
      <w:r>
        <w:rPr>
          <w:spacing w:val="-8"/>
        </w:rPr>
        <w:t> </w:t>
      </w:r>
      <w:r>
        <w:rPr/>
        <w:t>2024,</w:t>
      </w:r>
      <w:r>
        <w:rPr>
          <w:spacing w:val="-10"/>
        </w:rPr>
        <w:t> </w:t>
      </w:r>
      <w:r>
        <w:rPr/>
        <w:t>a</w:t>
      </w:r>
      <w:r>
        <w:rPr>
          <w:spacing w:val="-4"/>
        </w:rPr>
        <w:t> </w:t>
      </w:r>
      <w:r>
        <w:rPr/>
        <w:t>Companhia</w:t>
      </w:r>
      <w:r>
        <w:rPr>
          <w:spacing w:val="-6"/>
        </w:rPr>
        <w:t> </w:t>
      </w:r>
      <w:r>
        <w:rPr/>
        <w:t>ainda</w:t>
      </w:r>
      <w:r>
        <w:rPr>
          <w:spacing w:val="-8"/>
        </w:rPr>
        <w:t> </w:t>
      </w:r>
      <w:r>
        <w:rPr/>
        <w:t>está</w:t>
      </w:r>
      <w:r>
        <w:rPr>
          <w:spacing w:val="-7"/>
        </w:rPr>
        <w:t> </w:t>
      </w:r>
      <w:r>
        <w:rPr/>
        <w:t>avaliando os efeitos da aplicação inicial em suas demonstrações financeiras.</w:t>
      </w:r>
    </w:p>
    <w:p>
      <w:pPr>
        <w:pStyle w:val="BodyText"/>
        <w:spacing w:before="237"/>
      </w:pPr>
    </w:p>
    <w:p>
      <w:pPr>
        <w:pStyle w:val="ListParagraph"/>
        <w:numPr>
          <w:ilvl w:val="1"/>
          <w:numId w:val="4"/>
        </w:numPr>
        <w:tabs>
          <w:tab w:pos="718" w:val="left" w:leader="none"/>
        </w:tabs>
        <w:spacing w:line="240" w:lineRule="auto" w:before="0" w:after="0"/>
        <w:ind w:left="718" w:right="0" w:hanging="568"/>
        <w:jc w:val="left"/>
        <w:rPr>
          <w:b/>
          <w:sz w:val="24"/>
        </w:rPr>
      </w:pPr>
      <w:r>
        <w:rPr>
          <w:b/>
          <w:sz w:val="24"/>
        </w:rPr>
        <w:t>Comitê</w:t>
      </w:r>
      <w:r>
        <w:rPr>
          <w:b/>
          <w:spacing w:val="-9"/>
          <w:sz w:val="24"/>
        </w:rPr>
        <w:t> </w:t>
      </w:r>
      <w:r>
        <w:rPr>
          <w:b/>
          <w:sz w:val="24"/>
        </w:rPr>
        <w:t>de</w:t>
      </w:r>
      <w:r>
        <w:rPr>
          <w:b/>
          <w:spacing w:val="-5"/>
          <w:sz w:val="24"/>
        </w:rPr>
        <w:t> </w:t>
      </w:r>
      <w:r>
        <w:rPr>
          <w:b/>
          <w:sz w:val="24"/>
        </w:rPr>
        <w:t>Pronunciamentos</w:t>
      </w:r>
      <w:r>
        <w:rPr>
          <w:b/>
          <w:spacing w:val="-6"/>
          <w:sz w:val="24"/>
        </w:rPr>
        <w:t> </w:t>
      </w:r>
      <w:r>
        <w:rPr>
          <w:b/>
          <w:sz w:val="24"/>
        </w:rPr>
        <w:t>Contábeis</w:t>
      </w:r>
      <w:r>
        <w:rPr>
          <w:b/>
          <w:spacing w:val="-16"/>
          <w:sz w:val="24"/>
        </w:rPr>
        <w:t> </w:t>
      </w:r>
      <w:r>
        <w:rPr>
          <w:b/>
          <w:spacing w:val="-2"/>
          <w:sz w:val="24"/>
        </w:rPr>
        <w:t>(CPC)</w:t>
      </w:r>
    </w:p>
    <w:p>
      <w:pPr>
        <w:pStyle w:val="BodyText"/>
        <w:spacing w:before="241"/>
        <w:ind w:left="151"/>
      </w:pPr>
      <w:r>
        <w:rPr/>
        <w:t>A</w:t>
      </w:r>
      <w:r>
        <w:rPr>
          <w:spacing w:val="-3"/>
        </w:rPr>
        <w:t> </w:t>
      </w:r>
      <w:r>
        <w:rPr/>
        <w:t>seguir</w:t>
      </w:r>
      <w:r>
        <w:rPr>
          <w:spacing w:val="-3"/>
        </w:rPr>
        <w:t> </w:t>
      </w:r>
      <w:r>
        <w:rPr/>
        <w:t>são</w:t>
      </w:r>
      <w:r>
        <w:rPr>
          <w:spacing w:val="-1"/>
        </w:rPr>
        <w:t> </w:t>
      </w:r>
      <w:r>
        <w:rPr/>
        <w:t>apresentados</w:t>
      </w:r>
      <w:r>
        <w:rPr>
          <w:spacing w:val="-3"/>
        </w:rPr>
        <w:t> </w:t>
      </w:r>
      <w:r>
        <w:rPr/>
        <w:t>os</w:t>
      </w:r>
      <w:r>
        <w:rPr>
          <w:spacing w:val="-2"/>
        </w:rPr>
        <w:t> </w:t>
      </w:r>
      <w:r>
        <w:rPr/>
        <w:t>normativos</w:t>
      </w:r>
      <w:r>
        <w:rPr>
          <w:spacing w:val="-3"/>
        </w:rPr>
        <w:t> </w:t>
      </w:r>
      <w:r>
        <w:rPr/>
        <w:t>emitidos</w:t>
      </w:r>
      <w:r>
        <w:rPr>
          <w:spacing w:val="-3"/>
        </w:rPr>
        <w:t> </w:t>
      </w:r>
      <w:r>
        <w:rPr/>
        <w:t>pelo</w:t>
      </w:r>
      <w:r>
        <w:rPr>
          <w:spacing w:val="-2"/>
        </w:rPr>
        <w:t> </w:t>
      </w:r>
      <w:r>
        <w:rPr/>
        <w:t>CPC</w:t>
      </w:r>
      <w:r>
        <w:rPr>
          <w:spacing w:val="-2"/>
        </w:rPr>
        <w:t> </w:t>
      </w:r>
      <w:r>
        <w:rPr/>
        <w:t>que</w:t>
      </w:r>
      <w:r>
        <w:rPr>
          <w:spacing w:val="-3"/>
        </w:rPr>
        <w:t> </w:t>
      </w:r>
      <w:r>
        <w:rPr/>
        <w:t>ainda</w:t>
      </w:r>
      <w:r>
        <w:rPr>
          <w:spacing w:val="-3"/>
        </w:rPr>
        <w:t> </w:t>
      </w:r>
      <w:r>
        <w:rPr/>
        <w:t>não</w:t>
      </w:r>
      <w:r>
        <w:rPr>
          <w:spacing w:val="-2"/>
        </w:rPr>
        <w:t> </w:t>
      </w:r>
      <w:r>
        <w:rPr/>
        <w:t>entraram</w:t>
      </w:r>
      <w:r>
        <w:rPr>
          <w:spacing w:val="-4"/>
        </w:rPr>
        <w:t> </w:t>
      </w:r>
      <w:r>
        <w:rPr/>
        <w:t>em</w:t>
      </w:r>
      <w:r>
        <w:rPr>
          <w:spacing w:val="-2"/>
        </w:rPr>
        <w:t> </w:t>
      </w:r>
      <w:r>
        <w:rPr/>
        <w:t>vigor</w:t>
      </w:r>
      <w:r>
        <w:rPr>
          <w:spacing w:val="-3"/>
        </w:rPr>
        <w:t> </w:t>
      </w:r>
      <w:r>
        <w:rPr/>
        <w:t>e</w:t>
      </w:r>
      <w:r>
        <w:rPr>
          <w:spacing w:val="-3"/>
        </w:rPr>
        <w:t> </w:t>
      </w:r>
      <w:r>
        <w:rPr/>
        <w:t>não</w:t>
      </w:r>
      <w:r>
        <w:rPr>
          <w:spacing w:val="-1"/>
        </w:rPr>
        <w:t> </w:t>
      </w:r>
      <w:r>
        <w:rPr/>
        <w:t>tiveram</w:t>
      </w:r>
      <w:r>
        <w:rPr>
          <w:spacing w:val="-3"/>
        </w:rPr>
        <w:t> </w:t>
      </w:r>
      <w:r>
        <w:rPr/>
        <w:t>sua adoção antecipada pela companhia até 31 de dezembro de 2022, bem como os IFRS equivalentes:</w:t>
      </w:r>
    </w:p>
    <w:p>
      <w:pPr>
        <w:spacing w:after="0"/>
        <w:sectPr>
          <w:type w:val="continuous"/>
          <w:pgSz w:w="11910" w:h="16840"/>
          <w:pgMar w:header="637" w:footer="630" w:top="1940" w:bottom="280" w:left="700" w:right="480"/>
        </w:sectPr>
      </w:pPr>
    </w:p>
    <w:p>
      <w:pPr>
        <w:pStyle w:val="BodyText"/>
        <w:spacing w:before="49" w:after="1"/>
        <w:rPr>
          <w:sz w:val="20"/>
        </w:rPr>
      </w:pPr>
    </w:p>
    <w:p>
      <w:pPr>
        <w:pStyle w:val="BodyText"/>
        <w:ind w:left="130"/>
        <w:rPr>
          <w:sz w:val="20"/>
        </w:rPr>
      </w:pPr>
      <w:r>
        <w:rPr>
          <w:sz w:val="20"/>
        </w:rPr>
        <mc:AlternateContent>
          <mc:Choice Requires="wps">
            <w:drawing>
              <wp:inline distT="0" distB="0" distL="0" distR="0">
                <wp:extent cx="6517640" cy="328930"/>
                <wp:effectExtent l="0" t="0" r="0" b="4445"/>
                <wp:docPr id="70" name="Group 70"/>
                <wp:cNvGraphicFramePr>
                  <a:graphicFrameLocks/>
                </wp:cNvGraphicFramePr>
                <a:graphic>
                  <a:graphicData uri="http://schemas.microsoft.com/office/word/2010/wordprocessingGroup">
                    <wpg:wgp>
                      <wpg:cNvPr id="70" name="Group 70"/>
                      <wpg:cNvGrpSpPr/>
                      <wpg:grpSpPr>
                        <a:xfrm>
                          <a:off x="0" y="0"/>
                          <a:ext cx="6517640" cy="328930"/>
                          <a:chExt cx="6517640" cy="328930"/>
                        </a:xfrm>
                      </wpg:grpSpPr>
                      <wps:wsp>
                        <wps:cNvPr id="71" name="Graphic 71"/>
                        <wps:cNvSpPr/>
                        <wps:spPr>
                          <a:xfrm>
                            <a:off x="0" y="0"/>
                            <a:ext cx="6517640" cy="322580"/>
                          </a:xfrm>
                          <a:custGeom>
                            <a:avLst/>
                            <a:gdLst/>
                            <a:ahLst/>
                            <a:cxnLst/>
                            <a:rect l="l" t="t" r="r" b="b"/>
                            <a:pathLst>
                              <a:path w="6517640" h="322580">
                                <a:moveTo>
                                  <a:pt x="5569445" y="0"/>
                                </a:moveTo>
                                <a:lnTo>
                                  <a:pt x="1574292" y="0"/>
                                </a:lnTo>
                                <a:lnTo>
                                  <a:pt x="0" y="0"/>
                                </a:lnTo>
                                <a:lnTo>
                                  <a:pt x="0" y="322326"/>
                                </a:lnTo>
                                <a:lnTo>
                                  <a:pt x="1574292" y="322326"/>
                                </a:lnTo>
                                <a:lnTo>
                                  <a:pt x="5569445" y="322326"/>
                                </a:lnTo>
                                <a:lnTo>
                                  <a:pt x="5569445" y="0"/>
                                </a:lnTo>
                                <a:close/>
                              </a:path>
                              <a:path w="6517640" h="322580">
                                <a:moveTo>
                                  <a:pt x="6517386" y="0"/>
                                </a:moveTo>
                                <a:lnTo>
                                  <a:pt x="5569458" y="0"/>
                                </a:lnTo>
                                <a:lnTo>
                                  <a:pt x="5569458" y="322326"/>
                                </a:lnTo>
                                <a:lnTo>
                                  <a:pt x="6517386" y="322326"/>
                                </a:lnTo>
                                <a:lnTo>
                                  <a:pt x="6517386" y="0"/>
                                </a:lnTo>
                                <a:close/>
                              </a:path>
                            </a:pathLst>
                          </a:custGeom>
                          <a:solidFill>
                            <a:srgbClr val="D9D9D9"/>
                          </a:solidFill>
                        </wps:spPr>
                        <wps:bodyPr wrap="square" lIns="0" tIns="0" rIns="0" bIns="0" rtlCol="0">
                          <a:prstTxWarp prst="textNoShape">
                            <a:avLst/>
                          </a:prstTxWarp>
                          <a:noAutofit/>
                        </wps:bodyPr>
                      </wps:wsp>
                      <wps:wsp>
                        <wps:cNvPr id="72" name="Graphic 72"/>
                        <wps:cNvSpPr/>
                        <wps:spPr>
                          <a:xfrm>
                            <a:off x="0" y="322326"/>
                            <a:ext cx="6517640" cy="6350"/>
                          </a:xfrm>
                          <a:custGeom>
                            <a:avLst/>
                            <a:gdLst/>
                            <a:ahLst/>
                            <a:cxnLst/>
                            <a:rect l="l" t="t" r="r" b="b"/>
                            <a:pathLst>
                              <a:path w="6517640" h="6350">
                                <a:moveTo>
                                  <a:pt x="6517385" y="0"/>
                                </a:moveTo>
                                <a:lnTo>
                                  <a:pt x="0" y="0"/>
                                </a:lnTo>
                                <a:lnTo>
                                  <a:pt x="0" y="6095"/>
                                </a:lnTo>
                                <a:lnTo>
                                  <a:pt x="6517385" y="6095"/>
                                </a:lnTo>
                                <a:lnTo>
                                  <a:pt x="6517385" y="0"/>
                                </a:lnTo>
                                <a:close/>
                              </a:path>
                            </a:pathLst>
                          </a:custGeom>
                          <a:solidFill>
                            <a:srgbClr val="000000"/>
                          </a:solidFill>
                        </wps:spPr>
                        <wps:bodyPr wrap="square" lIns="0" tIns="0" rIns="0" bIns="0" rtlCol="0">
                          <a:prstTxWarp prst="textNoShape">
                            <a:avLst/>
                          </a:prstTxWarp>
                          <a:noAutofit/>
                        </wps:bodyPr>
                      </wps:wsp>
                      <wps:wsp>
                        <wps:cNvPr id="73" name="Textbox 73"/>
                        <wps:cNvSpPr txBox="1"/>
                        <wps:spPr>
                          <a:xfrm>
                            <a:off x="93726" y="68195"/>
                            <a:ext cx="1352550" cy="253365"/>
                          </a:xfrm>
                          <a:prstGeom prst="rect">
                            <a:avLst/>
                          </a:prstGeom>
                        </wps:spPr>
                        <wps:txbx>
                          <w:txbxContent>
                            <w:p>
                              <w:pPr>
                                <w:spacing w:line="183" w:lineRule="exact" w:before="0"/>
                                <w:ind w:left="0" w:right="0" w:firstLine="0"/>
                                <w:jc w:val="left"/>
                                <w:rPr>
                                  <w:b/>
                                  <w:sz w:val="18"/>
                                </w:rPr>
                              </w:pPr>
                              <w:r>
                                <w:rPr>
                                  <w:b/>
                                  <w:sz w:val="18"/>
                                </w:rPr>
                                <w:t>Pronunciamento,</w:t>
                              </w:r>
                              <w:r>
                                <w:rPr>
                                  <w:b/>
                                  <w:spacing w:val="-3"/>
                                  <w:sz w:val="18"/>
                                </w:rPr>
                                <w:t> </w:t>
                              </w:r>
                              <w:r>
                                <w:rPr>
                                  <w:b/>
                                  <w:sz w:val="18"/>
                                </w:rPr>
                                <w:t>revisão</w:t>
                              </w:r>
                              <w:r>
                                <w:rPr>
                                  <w:b/>
                                  <w:spacing w:val="-2"/>
                                  <w:sz w:val="18"/>
                                </w:rPr>
                                <w:t> </w:t>
                              </w:r>
                              <w:r>
                                <w:rPr>
                                  <w:b/>
                                  <w:spacing w:val="-5"/>
                                  <w:sz w:val="18"/>
                                </w:rPr>
                                <w:t>ou</w:t>
                              </w:r>
                            </w:p>
                            <w:p>
                              <w:pPr>
                                <w:spacing w:line="216" w:lineRule="exact" w:before="0"/>
                                <w:ind w:left="0" w:right="0" w:firstLine="0"/>
                                <w:jc w:val="left"/>
                                <w:rPr>
                                  <w:b/>
                                  <w:sz w:val="18"/>
                                </w:rPr>
                              </w:pPr>
                              <w:r>
                                <w:rPr>
                                  <w:b/>
                                  <w:sz w:val="18"/>
                                </w:rPr>
                                <w:t>interpretação</w:t>
                              </w:r>
                              <w:r>
                                <w:rPr>
                                  <w:b/>
                                  <w:spacing w:val="-3"/>
                                  <w:sz w:val="18"/>
                                </w:rPr>
                                <w:t> </w:t>
                              </w:r>
                              <w:r>
                                <w:rPr>
                                  <w:b/>
                                  <w:sz w:val="18"/>
                                </w:rPr>
                                <w:t>do</w:t>
                              </w:r>
                              <w:r>
                                <w:rPr>
                                  <w:b/>
                                  <w:spacing w:val="-1"/>
                                  <w:sz w:val="18"/>
                                </w:rPr>
                                <w:t> </w:t>
                              </w:r>
                              <w:r>
                                <w:rPr>
                                  <w:b/>
                                  <w:spacing w:val="-5"/>
                                  <w:sz w:val="18"/>
                                </w:rPr>
                                <w:t>CPC</w:t>
                              </w:r>
                            </w:p>
                          </w:txbxContent>
                        </wps:txbx>
                        <wps:bodyPr wrap="square" lIns="0" tIns="0" rIns="0" bIns="0" rtlCol="0">
                          <a:noAutofit/>
                        </wps:bodyPr>
                      </wps:wsp>
                      <wps:wsp>
                        <wps:cNvPr id="74" name="Textbox 74"/>
                        <wps:cNvSpPr txBox="1"/>
                        <wps:spPr>
                          <a:xfrm>
                            <a:off x="1717548" y="198497"/>
                            <a:ext cx="802640" cy="114300"/>
                          </a:xfrm>
                          <a:prstGeom prst="rect">
                            <a:avLst/>
                          </a:prstGeom>
                        </wps:spPr>
                        <wps:txbx>
                          <w:txbxContent>
                            <w:p>
                              <w:pPr>
                                <w:spacing w:line="180" w:lineRule="exact" w:before="0"/>
                                <w:ind w:left="0" w:right="0" w:firstLine="0"/>
                                <w:jc w:val="left"/>
                                <w:rPr>
                                  <w:b/>
                                  <w:sz w:val="18"/>
                                </w:rPr>
                              </w:pPr>
                              <w:r>
                                <w:rPr>
                                  <w:b/>
                                  <w:sz w:val="18"/>
                                </w:rPr>
                                <w:t>IFRS</w:t>
                              </w:r>
                              <w:r>
                                <w:rPr>
                                  <w:b/>
                                  <w:spacing w:val="-3"/>
                                  <w:sz w:val="18"/>
                                </w:rPr>
                                <w:t> </w:t>
                              </w:r>
                              <w:r>
                                <w:rPr>
                                  <w:b/>
                                  <w:spacing w:val="-2"/>
                                  <w:sz w:val="18"/>
                                </w:rPr>
                                <w:t>equivalente</w:t>
                              </w:r>
                            </w:p>
                          </w:txbxContent>
                        </wps:txbx>
                        <wps:bodyPr wrap="square" lIns="0" tIns="0" rIns="0" bIns="0" rtlCol="0">
                          <a:noAutofit/>
                        </wps:bodyPr>
                      </wps:wsp>
                      <wps:wsp>
                        <wps:cNvPr id="75" name="Textbox 75"/>
                        <wps:cNvSpPr txBox="1"/>
                        <wps:spPr>
                          <a:xfrm>
                            <a:off x="5692902" y="198497"/>
                            <a:ext cx="795655" cy="114300"/>
                          </a:xfrm>
                          <a:prstGeom prst="rect">
                            <a:avLst/>
                          </a:prstGeom>
                        </wps:spPr>
                        <wps:txbx>
                          <w:txbxContent>
                            <w:p>
                              <w:pPr>
                                <w:spacing w:line="180" w:lineRule="exact" w:before="0"/>
                                <w:ind w:left="0" w:right="0" w:firstLine="0"/>
                                <w:jc w:val="left"/>
                                <w:rPr>
                                  <w:b/>
                                  <w:sz w:val="18"/>
                                </w:rPr>
                              </w:pPr>
                              <w:r>
                                <w:rPr>
                                  <w:b/>
                                  <w:sz w:val="18"/>
                                </w:rPr>
                                <w:t>Data</w:t>
                              </w:r>
                              <w:r>
                                <w:rPr>
                                  <w:b/>
                                  <w:spacing w:val="-1"/>
                                  <w:sz w:val="18"/>
                                </w:rPr>
                                <w:t> </w:t>
                              </w:r>
                              <w:r>
                                <w:rPr>
                                  <w:b/>
                                  <w:sz w:val="18"/>
                                </w:rPr>
                                <w:t>de</w:t>
                              </w:r>
                              <w:r>
                                <w:rPr>
                                  <w:b/>
                                  <w:spacing w:val="-1"/>
                                  <w:sz w:val="18"/>
                                </w:rPr>
                                <w:t> </w:t>
                              </w:r>
                              <w:r>
                                <w:rPr>
                                  <w:b/>
                                  <w:spacing w:val="-2"/>
                                  <w:sz w:val="18"/>
                                </w:rPr>
                                <w:t>vigência</w:t>
                              </w:r>
                            </w:p>
                          </w:txbxContent>
                        </wps:txbx>
                        <wps:bodyPr wrap="square" lIns="0" tIns="0" rIns="0" bIns="0" rtlCol="0">
                          <a:noAutofit/>
                        </wps:bodyPr>
                      </wps:wsp>
                    </wpg:wgp>
                  </a:graphicData>
                </a:graphic>
              </wp:inline>
            </w:drawing>
          </mc:Choice>
          <mc:Fallback>
            <w:pict>
              <v:group style="width:513.2pt;height:25.9pt;mso-position-horizontal-relative:char;mso-position-vertical-relative:line" id="docshapegroup55" coordorigin="0,0" coordsize="10264,518">
                <v:shape style="position:absolute;left:0;top:0;width:10264;height:508" id="docshape56" coordorigin="0,0" coordsize="10264,508" path="m8771,0l2479,0,0,0,0,508,2479,508,8771,508,8771,0xm10264,0l8771,0,8771,508,10264,508,10264,0xe" filled="true" fillcolor="#d9d9d9" stroked="false">
                  <v:path arrowok="t"/>
                  <v:fill type="solid"/>
                </v:shape>
                <v:rect style="position:absolute;left:0;top:507;width:10264;height:10" id="docshape57" filled="true" fillcolor="#000000" stroked="false">
                  <v:fill type="solid"/>
                </v:rect>
                <v:shape style="position:absolute;left:147;top:107;width:2130;height:399" type="#_x0000_t202" id="docshape58" filled="false" stroked="false">
                  <v:textbox inset="0,0,0,0">
                    <w:txbxContent>
                      <w:p>
                        <w:pPr>
                          <w:spacing w:line="183" w:lineRule="exact" w:before="0"/>
                          <w:ind w:left="0" w:right="0" w:firstLine="0"/>
                          <w:jc w:val="left"/>
                          <w:rPr>
                            <w:b/>
                            <w:sz w:val="18"/>
                          </w:rPr>
                        </w:pPr>
                        <w:r>
                          <w:rPr>
                            <w:b/>
                            <w:sz w:val="18"/>
                          </w:rPr>
                          <w:t>Pronunciamento,</w:t>
                        </w:r>
                        <w:r>
                          <w:rPr>
                            <w:b/>
                            <w:spacing w:val="-3"/>
                            <w:sz w:val="18"/>
                          </w:rPr>
                          <w:t> </w:t>
                        </w:r>
                        <w:r>
                          <w:rPr>
                            <w:b/>
                            <w:sz w:val="18"/>
                          </w:rPr>
                          <w:t>revisão</w:t>
                        </w:r>
                        <w:r>
                          <w:rPr>
                            <w:b/>
                            <w:spacing w:val="-2"/>
                            <w:sz w:val="18"/>
                          </w:rPr>
                          <w:t> </w:t>
                        </w:r>
                        <w:r>
                          <w:rPr>
                            <w:b/>
                            <w:spacing w:val="-5"/>
                            <w:sz w:val="18"/>
                          </w:rPr>
                          <w:t>ou</w:t>
                        </w:r>
                      </w:p>
                      <w:p>
                        <w:pPr>
                          <w:spacing w:line="216" w:lineRule="exact" w:before="0"/>
                          <w:ind w:left="0" w:right="0" w:firstLine="0"/>
                          <w:jc w:val="left"/>
                          <w:rPr>
                            <w:b/>
                            <w:sz w:val="18"/>
                          </w:rPr>
                        </w:pPr>
                        <w:r>
                          <w:rPr>
                            <w:b/>
                            <w:sz w:val="18"/>
                          </w:rPr>
                          <w:t>interpretação</w:t>
                        </w:r>
                        <w:r>
                          <w:rPr>
                            <w:b/>
                            <w:spacing w:val="-3"/>
                            <w:sz w:val="18"/>
                          </w:rPr>
                          <w:t> </w:t>
                        </w:r>
                        <w:r>
                          <w:rPr>
                            <w:b/>
                            <w:sz w:val="18"/>
                          </w:rPr>
                          <w:t>do</w:t>
                        </w:r>
                        <w:r>
                          <w:rPr>
                            <w:b/>
                            <w:spacing w:val="-1"/>
                            <w:sz w:val="18"/>
                          </w:rPr>
                          <w:t> </w:t>
                        </w:r>
                        <w:r>
                          <w:rPr>
                            <w:b/>
                            <w:spacing w:val="-5"/>
                            <w:sz w:val="18"/>
                          </w:rPr>
                          <w:t>CPC</w:t>
                        </w:r>
                      </w:p>
                    </w:txbxContent>
                  </v:textbox>
                  <w10:wrap type="none"/>
                </v:shape>
                <v:shape style="position:absolute;left:2704;top:312;width:1264;height:180" type="#_x0000_t202" id="docshape59" filled="false" stroked="false">
                  <v:textbox inset="0,0,0,0">
                    <w:txbxContent>
                      <w:p>
                        <w:pPr>
                          <w:spacing w:line="180" w:lineRule="exact" w:before="0"/>
                          <w:ind w:left="0" w:right="0" w:firstLine="0"/>
                          <w:jc w:val="left"/>
                          <w:rPr>
                            <w:b/>
                            <w:sz w:val="18"/>
                          </w:rPr>
                        </w:pPr>
                        <w:r>
                          <w:rPr>
                            <w:b/>
                            <w:sz w:val="18"/>
                          </w:rPr>
                          <w:t>IFRS</w:t>
                        </w:r>
                        <w:r>
                          <w:rPr>
                            <w:b/>
                            <w:spacing w:val="-3"/>
                            <w:sz w:val="18"/>
                          </w:rPr>
                          <w:t> </w:t>
                        </w:r>
                        <w:r>
                          <w:rPr>
                            <w:b/>
                            <w:spacing w:val="-2"/>
                            <w:sz w:val="18"/>
                          </w:rPr>
                          <w:t>equivalente</w:t>
                        </w:r>
                      </w:p>
                    </w:txbxContent>
                  </v:textbox>
                  <w10:wrap type="none"/>
                </v:shape>
                <v:shape style="position:absolute;left:8965;top:312;width:1253;height:180" type="#_x0000_t202" id="docshape60" filled="false" stroked="false">
                  <v:textbox inset="0,0,0,0">
                    <w:txbxContent>
                      <w:p>
                        <w:pPr>
                          <w:spacing w:line="180" w:lineRule="exact" w:before="0"/>
                          <w:ind w:left="0" w:right="0" w:firstLine="0"/>
                          <w:jc w:val="left"/>
                          <w:rPr>
                            <w:b/>
                            <w:sz w:val="18"/>
                          </w:rPr>
                        </w:pPr>
                        <w:r>
                          <w:rPr>
                            <w:b/>
                            <w:sz w:val="18"/>
                          </w:rPr>
                          <w:t>Data</w:t>
                        </w:r>
                        <w:r>
                          <w:rPr>
                            <w:b/>
                            <w:spacing w:val="-1"/>
                            <w:sz w:val="18"/>
                          </w:rPr>
                          <w:t> </w:t>
                        </w:r>
                        <w:r>
                          <w:rPr>
                            <w:b/>
                            <w:sz w:val="18"/>
                          </w:rPr>
                          <w:t>de</w:t>
                        </w:r>
                        <w:r>
                          <w:rPr>
                            <w:b/>
                            <w:spacing w:val="-1"/>
                            <w:sz w:val="18"/>
                          </w:rPr>
                          <w:t> </w:t>
                        </w:r>
                        <w:r>
                          <w:rPr>
                            <w:b/>
                            <w:spacing w:val="-2"/>
                            <w:sz w:val="18"/>
                          </w:rPr>
                          <w:t>vigência</w:t>
                        </w:r>
                      </w:p>
                    </w:txbxContent>
                  </v:textbox>
                  <w10:wrap type="none"/>
                </v:shape>
              </v:group>
            </w:pict>
          </mc:Fallback>
        </mc:AlternateContent>
      </w:r>
      <w:r>
        <w:rPr>
          <w:sz w:val="20"/>
        </w:rPr>
      </w:r>
    </w:p>
    <w:p>
      <w:pPr>
        <w:tabs>
          <w:tab w:pos="2835" w:val="left" w:leader="none"/>
          <w:tab w:pos="9095" w:val="left" w:leader="none"/>
        </w:tabs>
        <w:spacing w:line="120" w:lineRule="auto" w:before="67"/>
        <w:ind w:left="9095" w:right="585" w:hanging="8818"/>
        <w:jc w:val="left"/>
        <w:rPr>
          <w:sz w:val="16"/>
        </w:rPr>
      </w:pPr>
      <w:r>
        <w:rPr/>
        <mc:AlternateContent>
          <mc:Choice Requires="wps">
            <w:drawing>
              <wp:anchor distT="0" distB="0" distL="0" distR="0" allowOverlap="1" layoutInCell="1" locked="0" behindDoc="0" simplePos="0" relativeHeight="15746048">
                <wp:simplePos x="0" y="0"/>
                <wp:positionH relativeFrom="page">
                  <wp:posOffset>527304</wp:posOffset>
                </wp:positionH>
                <wp:positionV relativeFrom="paragraph">
                  <wp:posOffset>250444</wp:posOffset>
                </wp:positionV>
                <wp:extent cx="6517640" cy="6350"/>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6517640" cy="6350"/>
                        </a:xfrm>
                        <a:custGeom>
                          <a:avLst/>
                          <a:gdLst/>
                          <a:ahLst/>
                          <a:cxnLst/>
                          <a:rect l="l" t="t" r="r" b="b"/>
                          <a:pathLst>
                            <a:path w="6517640" h="6350">
                              <a:moveTo>
                                <a:pt x="6517385" y="0"/>
                              </a:moveTo>
                              <a:lnTo>
                                <a:pt x="0" y="0"/>
                              </a:lnTo>
                              <a:lnTo>
                                <a:pt x="0" y="6095"/>
                              </a:lnTo>
                              <a:lnTo>
                                <a:pt x="6517385" y="6095"/>
                              </a:lnTo>
                              <a:lnTo>
                                <a:pt x="6517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52pt;margin-top:19.720020pt;width:513.180000pt;height:.47998pt;mso-position-horizontal-relative:page;mso-position-vertical-relative:paragraph;z-index:15746048" id="docshape61" filled="true" fillcolor="#000000" stroked="false">
                <v:fill type="solid"/>
                <w10:wrap type="none"/>
              </v:rect>
            </w:pict>
          </mc:Fallback>
        </mc:AlternateContent>
      </w:r>
      <w:r>
        <w:rPr>
          <w:i/>
          <w:sz w:val="16"/>
        </w:rPr>
        <w:t>Pronunciamento Técnico CPC 50</w:t>
        <w:tab/>
        <w:t>IFRS 17 – Insurance Contracts</w:t>
        <w:tab/>
      </w:r>
      <w:r>
        <w:rPr>
          <w:position w:val="9"/>
          <w:sz w:val="16"/>
        </w:rPr>
        <w:t>1º</w:t>
      </w:r>
      <w:r>
        <w:rPr>
          <w:spacing w:val="-10"/>
          <w:position w:val="9"/>
          <w:sz w:val="16"/>
        </w:rPr>
        <w:t> </w:t>
      </w:r>
      <w:r>
        <w:rPr>
          <w:position w:val="9"/>
          <w:sz w:val="16"/>
        </w:rPr>
        <w:t>de</w:t>
      </w:r>
      <w:r>
        <w:rPr>
          <w:spacing w:val="-9"/>
          <w:position w:val="9"/>
          <w:sz w:val="16"/>
        </w:rPr>
        <w:t> </w:t>
      </w:r>
      <w:r>
        <w:rPr>
          <w:position w:val="9"/>
          <w:sz w:val="16"/>
        </w:rPr>
        <w:t>janeiro</w:t>
      </w:r>
      <w:r>
        <w:rPr>
          <w:spacing w:val="-9"/>
          <w:position w:val="9"/>
          <w:sz w:val="16"/>
        </w:rPr>
        <w:t> </w:t>
      </w:r>
      <w:r>
        <w:rPr>
          <w:position w:val="9"/>
          <w:sz w:val="16"/>
        </w:rPr>
        <w:t>de</w:t>
      </w:r>
      <w:r>
        <w:rPr>
          <w:spacing w:val="40"/>
          <w:position w:val="9"/>
          <w:sz w:val="16"/>
        </w:rPr>
        <w:t> </w:t>
      </w:r>
      <w:r>
        <w:rPr>
          <w:spacing w:val="-4"/>
          <w:sz w:val="16"/>
        </w:rPr>
        <w:t>2023</w:t>
      </w:r>
    </w:p>
    <w:p>
      <w:pPr>
        <w:spacing w:after="0" w:line="120" w:lineRule="auto"/>
        <w:jc w:val="left"/>
        <w:rPr>
          <w:sz w:val="16"/>
        </w:rPr>
        <w:sectPr>
          <w:pgSz w:w="11910" w:h="16840"/>
          <w:pgMar w:header="637" w:footer="630" w:top="1780" w:bottom="820" w:left="700" w:right="480"/>
        </w:sectPr>
      </w:pPr>
    </w:p>
    <w:p>
      <w:pPr>
        <w:pStyle w:val="BodyText"/>
        <w:spacing w:before="132"/>
        <w:rPr>
          <w:sz w:val="16"/>
        </w:rPr>
      </w:pPr>
    </w:p>
    <w:p>
      <w:pPr>
        <w:spacing w:before="0"/>
        <w:ind w:left="278" w:right="0" w:hanging="1"/>
        <w:jc w:val="left"/>
        <w:rPr>
          <w:i/>
          <w:sz w:val="16"/>
        </w:rPr>
      </w:pPr>
      <w:r>
        <w:rPr>
          <w:i/>
          <w:sz w:val="16"/>
        </w:rPr>
        <w:t>Revisão</w:t>
      </w:r>
      <w:r>
        <w:rPr>
          <w:i/>
          <w:spacing w:val="-10"/>
          <w:sz w:val="16"/>
        </w:rPr>
        <w:t> </w:t>
      </w:r>
      <w:r>
        <w:rPr>
          <w:i/>
          <w:sz w:val="16"/>
        </w:rPr>
        <w:t>de</w:t>
      </w:r>
      <w:r>
        <w:rPr>
          <w:i/>
          <w:spacing w:val="-9"/>
          <w:sz w:val="16"/>
        </w:rPr>
        <w:t> </w:t>
      </w:r>
      <w:r>
        <w:rPr>
          <w:i/>
          <w:sz w:val="16"/>
        </w:rPr>
        <w:t>Pronunciamentos</w:t>
      </w:r>
      <w:r>
        <w:rPr>
          <w:i/>
          <w:spacing w:val="40"/>
          <w:sz w:val="16"/>
        </w:rPr>
        <w:t> </w:t>
      </w:r>
      <w:r>
        <w:rPr>
          <w:i/>
          <w:sz w:val="16"/>
        </w:rPr>
        <w:t>Técnicos nº 20</w:t>
      </w:r>
    </w:p>
    <w:p>
      <w:pPr>
        <w:pStyle w:val="BodyText"/>
        <w:rPr>
          <w:i/>
          <w:sz w:val="16"/>
        </w:rPr>
      </w:pPr>
    </w:p>
    <w:p>
      <w:pPr>
        <w:pStyle w:val="BodyText"/>
        <w:spacing w:before="119"/>
        <w:rPr>
          <w:i/>
          <w:sz w:val="16"/>
        </w:rPr>
      </w:pPr>
    </w:p>
    <w:p>
      <w:pPr>
        <w:spacing w:before="0"/>
        <w:ind w:left="278" w:right="0" w:hanging="1"/>
        <w:jc w:val="left"/>
        <w:rPr>
          <w:i/>
          <w:sz w:val="16"/>
        </w:rPr>
      </w:pPr>
      <w:r>
        <w:rPr>
          <w:i/>
          <w:sz w:val="16"/>
        </w:rPr>
        <w:t>Revisão</w:t>
      </w:r>
      <w:r>
        <w:rPr>
          <w:i/>
          <w:spacing w:val="-10"/>
          <w:sz w:val="16"/>
        </w:rPr>
        <w:t> </w:t>
      </w:r>
      <w:r>
        <w:rPr>
          <w:i/>
          <w:sz w:val="16"/>
        </w:rPr>
        <w:t>de</w:t>
      </w:r>
      <w:r>
        <w:rPr>
          <w:i/>
          <w:spacing w:val="-9"/>
          <w:sz w:val="16"/>
        </w:rPr>
        <w:t> </w:t>
      </w:r>
      <w:r>
        <w:rPr>
          <w:i/>
          <w:sz w:val="16"/>
        </w:rPr>
        <w:t>Pronunciamentos</w:t>
      </w:r>
      <w:r>
        <w:rPr>
          <w:i/>
          <w:spacing w:val="40"/>
          <w:sz w:val="16"/>
        </w:rPr>
        <w:t> </w:t>
      </w:r>
      <w:r>
        <w:rPr>
          <w:i/>
          <w:sz w:val="16"/>
        </w:rPr>
        <w:t>Técnicos nº 21</w:t>
      </w:r>
    </w:p>
    <w:p>
      <w:pPr>
        <w:spacing w:before="133"/>
        <w:ind w:left="278" w:right="1308" w:hanging="1"/>
        <w:jc w:val="left"/>
        <w:rPr>
          <w:i/>
          <w:sz w:val="16"/>
        </w:rPr>
      </w:pPr>
      <w:r>
        <w:rPr/>
        <w:br w:type="column"/>
      </w:r>
      <w:r>
        <w:rPr>
          <w:i/>
          <w:sz w:val="16"/>
        </w:rPr>
        <w:t>Definition</w:t>
      </w:r>
      <w:r>
        <w:rPr>
          <w:i/>
          <w:spacing w:val="-6"/>
          <w:sz w:val="16"/>
        </w:rPr>
        <w:t> </w:t>
      </w:r>
      <w:r>
        <w:rPr>
          <w:i/>
          <w:sz w:val="16"/>
        </w:rPr>
        <w:t>of</w:t>
      </w:r>
      <w:r>
        <w:rPr>
          <w:i/>
          <w:spacing w:val="-6"/>
          <w:sz w:val="16"/>
        </w:rPr>
        <w:t> </w:t>
      </w:r>
      <w:r>
        <w:rPr>
          <w:i/>
          <w:sz w:val="16"/>
        </w:rPr>
        <w:t>Accounting</w:t>
      </w:r>
      <w:r>
        <w:rPr>
          <w:i/>
          <w:spacing w:val="-6"/>
          <w:sz w:val="16"/>
        </w:rPr>
        <w:t> </w:t>
      </w:r>
      <w:r>
        <w:rPr>
          <w:i/>
          <w:sz w:val="16"/>
        </w:rPr>
        <w:t>Estimates</w:t>
      </w:r>
      <w:r>
        <w:rPr>
          <w:i/>
          <w:spacing w:val="-6"/>
          <w:sz w:val="16"/>
        </w:rPr>
        <w:t> </w:t>
      </w:r>
      <w:r>
        <w:rPr>
          <w:i/>
          <w:sz w:val="16"/>
        </w:rPr>
        <w:t>(Amendments</w:t>
      </w:r>
      <w:r>
        <w:rPr>
          <w:i/>
          <w:spacing w:val="-6"/>
          <w:sz w:val="16"/>
        </w:rPr>
        <w:t> </w:t>
      </w:r>
      <w:r>
        <w:rPr>
          <w:i/>
          <w:sz w:val="16"/>
        </w:rPr>
        <w:t>to</w:t>
      </w:r>
      <w:r>
        <w:rPr>
          <w:i/>
          <w:spacing w:val="-6"/>
          <w:sz w:val="16"/>
        </w:rPr>
        <w:t> </w:t>
      </w:r>
      <w:r>
        <w:rPr>
          <w:i/>
          <w:sz w:val="16"/>
        </w:rPr>
        <w:t>IAS</w:t>
      </w:r>
      <w:r>
        <w:rPr>
          <w:i/>
          <w:spacing w:val="-6"/>
          <w:sz w:val="16"/>
        </w:rPr>
        <w:t> </w:t>
      </w:r>
      <w:r>
        <w:rPr>
          <w:i/>
          <w:sz w:val="16"/>
        </w:rPr>
        <w:t>8)</w:t>
      </w:r>
      <w:r>
        <w:rPr>
          <w:i/>
          <w:spacing w:val="40"/>
          <w:sz w:val="16"/>
        </w:rPr>
        <w:t> </w:t>
      </w:r>
      <w:r>
        <w:rPr>
          <w:i/>
          <w:sz w:val="16"/>
        </w:rPr>
        <w:t>(Amendments to IAS12)</w:t>
      </w:r>
    </w:p>
    <w:p>
      <w:pPr>
        <w:spacing w:before="1"/>
        <w:ind w:left="278" w:right="274" w:hanging="1"/>
        <w:jc w:val="left"/>
        <w:rPr>
          <w:i/>
          <w:sz w:val="16"/>
        </w:rPr>
      </w:pPr>
      <w:r>
        <w:rPr/>
        <mc:AlternateContent>
          <mc:Choice Requires="wps">
            <w:drawing>
              <wp:anchor distT="0" distB="0" distL="0" distR="0" allowOverlap="1" layoutInCell="1" locked="0" behindDoc="0" simplePos="0" relativeHeight="15746560">
                <wp:simplePos x="0" y="0"/>
                <wp:positionH relativeFrom="page">
                  <wp:posOffset>527304</wp:posOffset>
                </wp:positionH>
                <wp:positionV relativeFrom="paragraph">
                  <wp:posOffset>303823</wp:posOffset>
                </wp:positionV>
                <wp:extent cx="6517640" cy="635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6517640" cy="6350"/>
                        </a:xfrm>
                        <a:custGeom>
                          <a:avLst/>
                          <a:gdLst/>
                          <a:ahLst/>
                          <a:cxnLst/>
                          <a:rect l="l" t="t" r="r" b="b"/>
                          <a:pathLst>
                            <a:path w="6517640" h="6350">
                              <a:moveTo>
                                <a:pt x="6517385" y="0"/>
                              </a:moveTo>
                              <a:lnTo>
                                <a:pt x="0" y="0"/>
                              </a:lnTo>
                              <a:lnTo>
                                <a:pt x="0" y="6095"/>
                              </a:lnTo>
                              <a:lnTo>
                                <a:pt x="6517385" y="6095"/>
                              </a:lnTo>
                              <a:lnTo>
                                <a:pt x="65173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52pt;margin-top:23.923145pt;width:513.180000pt;height:.47998pt;mso-position-horizontal-relative:page;mso-position-vertical-relative:paragraph;z-index:15746560" id="docshape62" filled="true" fillcolor="#000000" stroked="false">
                <v:fill type="solid"/>
                <w10:wrap type="none"/>
              </v:rect>
            </w:pict>
          </mc:Fallback>
        </mc:AlternateContent>
      </w:r>
      <w:r>
        <w:rPr>
          <w:i/>
          <w:sz w:val="16"/>
        </w:rPr>
        <w:t>Deferred</w:t>
      </w:r>
      <w:r>
        <w:rPr>
          <w:i/>
          <w:spacing w:val="-4"/>
          <w:sz w:val="16"/>
        </w:rPr>
        <w:t> </w:t>
      </w:r>
      <w:r>
        <w:rPr>
          <w:i/>
          <w:sz w:val="16"/>
        </w:rPr>
        <w:t>Tax</w:t>
      </w:r>
      <w:r>
        <w:rPr>
          <w:i/>
          <w:spacing w:val="-3"/>
          <w:sz w:val="16"/>
        </w:rPr>
        <w:t> </w:t>
      </w:r>
      <w:r>
        <w:rPr>
          <w:i/>
          <w:sz w:val="16"/>
        </w:rPr>
        <w:t>related</w:t>
      </w:r>
      <w:r>
        <w:rPr>
          <w:i/>
          <w:spacing w:val="-4"/>
          <w:sz w:val="16"/>
        </w:rPr>
        <w:t> </w:t>
      </w:r>
      <w:r>
        <w:rPr>
          <w:i/>
          <w:sz w:val="16"/>
        </w:rPr>
        <w:t>to</w:t>
      </w:r>
      <w:r>
        <w:rPr>
          <w:i/>
          <w:spacing w:val="-4"/>
          <w:sz w:val="16"/>
        </w:rPr>
        <w:t> </w:t>
      </w:r>
      <w:r>
        <w:rPr>
          <w:i/>
          <w:sz w:val="16"/>
        </w:rPr>
        <w:t>Assets</w:t>
      </w:r>
      <w:r>
        <w:rPr>
          <w:i/>
          <w:spacing w:val="-3"/>
          <w:sz w:val="16"/>
        </w:rPr>
        <w:t> </w:t>
      </w:r>
      <w:r>
        <w:rPr>
          <w:i/>
          <w:sz w:val="16"/>
        </w:rPr>
        <w:t>and</w:t>
      </w:r>
      <w:r>
        <w:rPr>
          <w:i/>
          <w:spacing w:val="-4"/>
          <w:sz w:val="16"/>
        </w:rPr>
        <w:t> </w:t>
      </w:r>
      <w:r>
        <w:rPr>
          <w:i/>
          <w:sz w:val="16"/>
        </w:rPr>
        <w:t>Liabilities</w:t>
      </w:r>
      <w:r>
        <w:rPr>
          <w:i/>
          <w:spacing w:val="-3"/>
          <w:sz w:val="16"/>
        </w:rPr>
        <w:t> </w:t>
      </w:r>
      <w:r>
        <w:rPr>
          <w:i/>
          <w:sz w:val="16"/>
        </w:rPr>
        <w:t>arising</w:t>
      </w:r>
      <w:r>
        <w:rPr>
          <w:i/>
          <w:spacing w:val="-4"/>
          <w:sz w:val="16"/>
        </w:rPr>
        <w:t> </w:t>
      </w:r>
      <w:r>
        <w:rPr>
          <w:i/>
          <w:sz w:val="16"/>
        </w:rPr>
        <w:t>from</w:t>
      </w:r>
      <w:r>
        <w:rPr>
          <w:i/>
          <w:spacing w:val="-4"/>
          <w:sz w:val="16"/>
        </w:rPr>
        <w:t> </w:t>
      </w:r>
      <w:r>
        <w:rPr>
          <w:i/>
          <w:sz w:val="16"/>
        </w:rPr>
        <w:t>a</w:t>
      </w:r>
      <w:r>
        <w:rPr>
          <w:i/>
          <w:spacing w:val="-3"/>
          <w:sz w:val="16"/>
        </w:rPr>
        <w:t> </w:t>
      </w:r>
      <w:r>
        <w:rPr>
          <w:i/>
          <w:sz w:val="16"/>
        </w:rPr>
        <w:t>Single</w:t>
      </w:r>
      <w:r>
        <w:rPr>
          <w:i/>
          <w:spacing w:val="-3"/>
          <w:sz w:val="16"/>
        </w:rPr>
        <w:t> </w:t>
      </w:r>
      <w:r>
        <w:rPr>
          <w:i/>
          <w:sz w:val="16"/>
        </w:rPr>
        <w:t>Transaction</w:t>
      </w:r>
      <w:r>
        <w:rPr>
          <w:i/>
          <w:spacing w:val="40"/>
          <w:sz w:val="16"/>
        </w:rPr>
        <w:t> </w:t>
      </w:r>
      <w:r>
        <w:rPr>
          <w:i/>
          <w:sz w:val="16"/>
        </w:rPr>
        <w:t>Disclosure of Accounting Policies (Amendments to IAS 1)</w:t>
      </w:r>
    </w:p>
    <w:p>
      <w:pPr>
        <w:pStyle w:val="BodyText"/>
        <w:spacing w:before="21"/>
        <w:rPr>
          <w:i/>
          <w:sz w:val="16"/>
        </w:rPr>
      </w:pPr>
    </w:p>
    <w:p>
      <w:pPr>
        <w:spacing w:before="0"/>
        <w:ind w:left="278" w:right="3199" w:hanging="1"/>
        <w:jc w:val="left"/>
        <w:rPr>
          <w:i/>
          <w:sz w:val="16"/>
        </w:rPr>
      </w:pPr>
      <w:r>
        <w:rPr>
          <w:i/>
          <w:sz w:val="16"/>
        </w:rPr>
        <w:t>IFRS</w:t>
      </w:r>
      <w:r>
        <w:rPr>
          <w:i/>
          <w:spacing w:val="-10"/>
          <w:sz w:val="16"/>
        </w:rPr>
        <w:t> </w:t>
      </w:r>
      <w:r>
        <w:rPr>
          <w:i/>
          <w:sz w:val="16"/>
        </w:rPr>
        <w:t>17</w:t>
      </w:r>
      <w:r>
        <w:rPr>
          <w:i/>
          <w:spacing w:val="-9"/>
          <w:sz w:val="16"/>
        </w:rPr>
        <w:t> </w:t>
      </w:r>
      <w:r>
        <w:rPr>
          <w:i/>
          <w:sz w:val="16"/>
        </w:rPr>
        <w:t>–</w:t>
      </w:r>
      <w:r>
        <w:rPr>
          <w:i/>
          <w:spacing w:val="-9"/>
          <w:sz w:val="16"/>
        </w:rPr>
        <w:t> </w:t>
      </w:r>
      <w:r>
        <w:rPr>
          <w:i/>
          <w:sz w:val="16"/>
        </w:rPr>
        <w:t>Insurance</w:t>
      </w:r>
      <w:r>
        <w:rPr>
          <w:i/>
          <w:spacing w:val="-9"/>
          <w:sz w:val="16"/>
        </w:rPr>
        <w:t> </w:t>
      </w:r>
      <w:r>
        <w:rPr>
          <w:i/>
          <w:sz w:val="16"/>
        </w:rPr>
        <w:t>Contracts</w:t>
      </w:r>
      <w:r>
        <w:rPr>
          <w:i/>
          <w:spacing w:val="40"/>
          <w:sz w:val="16"/>
        </w:rPr>
        <w:t> </w:t>
      </w:r>
      <w:r>
        <w:rPr>
          <w:i/>
          <w:sz w:val="16"/>
        </w:rPr>
        <w:t>Amendments to IFRS 17</w:t>
      </w:r>
    </w:p>
    <w:p>
      <w:pPr>
        <w:spacing w:before="3"/>
        <w:ind w:left="278" w:right="0" w:firstLine="0"/>
        <w:jc w:val="left"/>
        <w:rPr>
          <w:i/>
          <w:sz w:val="16"/>
        </w:rPr>
      </w:pPr>
      <w:r>
        <w:rPr>
          <w:i/>
          <w:sz w:val="16"/>
        </w:rPr>
        <w:t>Initial</w:t>
      </w:r>
      <w:r>
        <w:rPr>
          <w:i/>
          <w:spacing w:val="-6"/>
          <w:sz w:val="16"/>
        </w:rPr>
        <w:t> </w:t>
      </w:r>
      <w:r>
        <w:rPr>
          <w:i/>
          <w:sz w:val="16"/>
        </w:rPr>
        <w:t>Application</w:t>
      </w:r>
      <w:r>
        <w:rPr>
          <w:i/>
          <w:spacing w:val="-6"/>
          <w:sz w:val="16"/>
        </w:rPr>
        <w:t> </w:t>
      </w:r>
      <w:r>
        <w:rPr>
          <w:i/>
          <w:sz w:val="16"/>
        </w:rPr>
        <w:t>of</w:t>
      </w:r>
      <w:r>
        <w:rPr>
          <w:i/>
          <w:spacing w:val="-5"/>
          <w:sz w:val="16"/>
        </w:rPr>
        <w:t> </w:t>
      </w:r>
      <w:r>
        <w:rPr>
          <w:i/>
          <w:sz w:val="16"/>
        </w:rPr>
        <w:t>IFRS</w:t>
      </w:r>
      <w:r>
        <w:rPr>
          <w:i/>
          <w:spacing w:val="-6"/>
          <w:sz w:val="16"/>
        </w:rPr>
        <w:t> </w:t>
      </w:r>
      <w:r>
        <w:rPr>
          <w:i/>
          <w:sz w:val="16"/>
        </w:rPr>
        <w:t>17</w:t>
      </w:r>
      <w:r>
        <w:rPr>
          <w:i/>
          <w:spacing w:val="-6"/>
          <w:sz w:val="16"/>
        </w:rPr>
        <w:t> </w:t>
      </w:r>
      <w:r>
        <w:rPr>
          <w:i/>
          <w:sz w:val="16"/>
        </w:rPr>
        <w:t>and</w:t>
      </w:r>
      <w:r>
        <w:rPr>
          <w:i/>
          <w:spacing w:val="-6"/>
          <w:sz w:val="16"/>
        </w:rPr>
        <w:t> </w:t>
      </w:r>
      <w:r>
        <w:rPr>
          <w:i/>
          <w:sz w:val="16"/>
        </w:rPr>
        <w:t>IFRS</w:t>
      </w:r>
      <w:r>
        <w:rPr>
          <w:i/>
          <w:spacing w:val="-7"/>
          <w:sz w:val="16"/>
        </w:rPr>
        <w:t> </w:t>
      </w:r>
      <w:r>
        <w:rPr>
          <w:i/>
          <w:sz w:val="16"/>
        </w:rPr>
        <w:t>9</w:t>
      </w:r>
      <w:r>
        <w:rPr>
          <w:i/>
          <w:spacing w:val="-6"/>
          <w:sz w:val="16"/>
        </w:rPr>
        <w:t> </w:t>
      </w:r>
      <w:r>
        <w:rPr>
          <w:i/>
          <w:sz w:val="16"/>
        </w:rPr>
        <w:t>Comparative</w:t>
      </w:r>
      <w:r>
        <w:rPr>
          <w:i/>
          <w:spacing w:val="-6"/>
          <w:sz w:val="16"/>
        </w:rPr>
        <w:t> </w:t>
      </w:r>
      <w:r>
        <w:rPr>
          <w:i/>
          <w:sz w:val="16"/>
        </w:rPr>
        <w:t>Information</w:t>
      </w:r>
      <w:r>
        <w:rPr>
          <w:i/>
          <w:spacing w:val="-6"/>
          <w:sz w:val="16"/>
        </w:rPr>
        <w:t> </w:t>
      </w:r>
      <w:r>
        <w:rPr>
          <w:i/>
          <w:sz w:val="16"/>
        </w:rPr>
        <w:t>(Amendments</w:t>
      </w:r>
      <w:r>
        <w:rPr>
          <w:i/>
          <w:spacing w:val="-5"/>
          <w:sz w:val="16"/>
        </w:rPr>
        <w:t> </w:t>
      </w:r>
      <w:r>
        <w:rPr>
          <w:i/>
          <w:sz w:val="16"/>
        </w:rPr>
        <w:t>to</w:t>
      </w:r>
      <w:r>
        <w:rPr>
          <w:i/>
          <w:spacing w:val="-7"/>
          <w:sz w:val="16"/>
        </w:rPr>
        <w:t> </w:t>
      </w:r>
      <w:r>
        <w:rPr>
          <w:i/>
          <w:sz w:val="16"/>
        </w:rPr>
        <w:t>IFRS</w:t>
      </w:r>
      <w:r>
        <w:rPr>
          <w:i/>
          <w:spacing w:val="-5"/>
          <w:sz w:val="16"/>
        </w:rPr>
        <w:t> 17)</w:t>
      </w:r>
    </w:p>
    <w:p>
      <w:pPr>
        <w:spacing w:line="240" w:lineRule="auto" w:before="132"/>
        <w:rPr>
          <w:i/>
          <w:sz w:val="16"/>
        </w:rPr>
      </w:pPr>
      <w:r>
        <w:rPr/>
        <w:br w:type="column"/>
      </w:r>
      <w:r>
        <w:rPr>
          <w:i/>
          <w:sz w:val="16"/>
        </w:rPr>
      </w:r>
    </w:p>
    <w:p>
      <w:pPr>
        <w:spacing w:before="0"/>
        <w:ind w:left="278" w:right="334" w:hanging="1"/>
        <w:jc w:val="left"/>
        <w:rPr>
          <w:sz w:val="16"/>
        </w:rPr>
      </w:pPr>
      <w:r>
        <w:rPr>
          <w:sz w:val="16"/>
        </w:rPr>
        <w:t>1º</w:t>
      </w:r>
      <w:r>
        <w:rPr>
          <w:spacing w:val="-10"/>
          <w:sz w:val="16"/>
        </w:rPr>
        <w:t> </w:t>
      </w:r>
      <w:r>
        <w:rPr>
          <w:sz w:val="16"/>
        </w:rPr>
        <w:t>de</w:t>
      </w:r>
      <w:r>
        <w:rPr>
          <w:spacing w:val="-9"/>
          <w:sz w:val="16"/>
        </w:rPr>
        <w:t> </w:t>
      </w:r>
      <w:r>
        <w:rPr>
          <w:sz w:val="16"/>
        </w:rPr>
        <w:t>janeiro</w:t>
      </w:r>
      <w:r>
        <w:rPr>
          <w:spacing w:val="-9"/>
          <w:sz w:val="16"/>
        </w:rPr>
        <w:t> </w:t>
      </w:r>
      <w:r>
        <w:rPr>
          <w:sz w:val="16"/>
        </w:rPr>
        <w:t>de</w:t>
      </w:r>
      <w:r>
        <w:rPr>
          <w:spacing w:val="40"/>
          <w:sz w:val="16"/>
        </w:rPr>
        <w:t> </w:t>
      </w:r>
      <w:r>
        <w:rPr>
          <w:spacing w:val="-4"/>
          <w:sz w:val="16"/>
        </w:rPr>
        <w:t>2023</w:t>
      </w:r>
    </w:p>
    <w:p>
      <w:pPr>
        <w:pStyle w:val="BodyText"/>
        <w:rPr>
          <w:sz w:val="16"/>
        </w:rPr>
      </w:pPr>
    </w:p>
    <w:p>
      <w:pPr>
        <w:pStyle w:val="BodyText"/>
        <w:spacing w:before="119"/>
        <w:rPr>
          <w:sz w:val="16"/>
        </w:rPr>
      </w:pPr>
    </w:p>
    <w:p>
      <w:pPr>
        <w:spacing w:before="0"/>
        <w:ind w:left="278" w:right="334" w:hanging="1"/>
        <w:jc w:val="left"/>
        <w:rPr>
          <w:sz w:val="16"/>
        </w:rPr>
      </w:pPr>
      <w:r>
        <w:rPr>
          <w:sz w:val="16"/>
        </w:rPr>
        <w:t>1º</w:t>
      </w:r>
      <w:r>
        <w:rPr>
          <w:spacing w:val="-10"/>
          <w:sz w:val="16"/>
        </w:rPr>
        <w:t> </w:t>
      </w:r>
      <w:r>
        <w:rPr>
          <w:sz w:val="16"/>
        </w:rPr>
        <w:t>de</w:t>
      </w:r>
      <w:r>
        <w:rPr>
          <w:spacing w:val="-9"/>
          <w:sz w:val="16"/>
        </w:rPr>
        <w:t> </w:t>
      </w:r>
      <w:r>
        <w:rPr>
          <w:sz w:val="16"/>
        </w:rPr>
        <w:t>janeiro</w:t>
      </w:r>
      <w:r>
        <w:rPr>
          <w:spacing w:val="-9"/>
          <w:sz w:val="16"/>
        </w:rPr>
        <w:t> </w:t>
      </w:r>
      <w:r>
        <w:rPr>
          <w:sz w:val="16"/>
        </w:rPr>
        <w:t>de</w:t>
      </w:r>
      <w:r>
        <w:rPr>
          <w:spacing w:val="40"/>
          <w:sz w:val="16"/>
        </w:rPr>
        <w:t> </w:t>
      </w:r>
      <w:r>
        <w:rPr>
          <w:spacing w:val="-4"/>
          <w:sz w:val="16"/>
        </w:rPr>
        <w:t>2023</w:t>
      </w:r>
    </w:p>
    <w:p>
      <w:pPr>
        <w:spacing w:after="0"/>
        <w:jc w:val="left"/>
        <w:rPr>
          <w:sz w:val="16"/>
        </w:rPr>
        <w:sectPr>
          <w:type w:val="continuous"/>
          <w:pgSz w:w="11910" w:h="16840"/>
          <w:pgMar w:header="637" w:footer="630" w:top="1940" w:bottom="280" w:left="700" w:right="480"/>
          <w:cols w:num="3" w:equalWidth="0">
            <w:col w:w="2181" w:space="377"/>
            <w:col w:w="6191" w:space="69"/>
            <w:col w:w="1912"/>
          </w:cols>
        </w:sectPr>
      </w:pPr>
    </w:p>
    <w:p>
      <w:pPr>
        <w:pStyle w:val="BodyText"/>
        <w:spacing w:before="11"/>
        <w:rPr>
          <w:sz w:val="9"/>
        </w:rPr>
      </w:pPr>
    </w:p>
    <w:p>
      <w:pPr>
        <w:pStyle w:val="BodyText"/>
        <w:spacing w:line="20" w:lineRule="exact"/>
        <w:ind w:left="116"/>
        <w:rPr>
          <w:sz w:val="2"/>
        </w:rPr>
      </w:pPr>
      <w:r>
        <w:rPr>
          <w:sz w:val="2"/>
        </w:rPr>
        <mc:AlternateContent>
          <mc:Choice Requires="wps">
            <w:drawing>
              <wp:inline distT="0" distB="0" distL="0" distR="0">
                <wp:extent cx="6526530" cy="6350"/>
                <wp:effectExtent l="0" t="0" r="0" b="0"/>
                <wp:docPr id="78" name="Group 78"/>
                <wp:cNvGraphicFramePr>
                  <a:graphicFrameLocks/>
                </wp:cNvGraphicFramePr>
                <a:graphic>
                  <a:graphicData uri="http://schemas.microsoft.com/office/word/2010/wordprocessingGroup">
                    <wpg:wgp>
                      <wpg:cNvPr id="78" name="Group 78"/>
                      <wpg:cNvGrpSpPr/>
                      <wpg:grpSpPr>
                        <a:xfrm>
                          <a:off x="0" y="0"/>
                          <a:ext cx="6526530" cy="6350"/>
                          <a:chExt cx="6526530" cy="6350"/>
                        </a:xfrm>
                      </wpg:grpSpPr>
                      <wps:wsp>
                        <wps:cNvPr id="79" name="Graphic 79"/>
                        <wps:cNvSpPr/>
                        <wps:spPr>
                          <a:xfrm>
                            <a:off x="0" y="12"/>
                            <a:ext cx="6526530" cy="6350"/>
                          </a:xfrm>
                          <a:custGeom>
                            <a:avLst/>
                            <a:gdLst/>
                            <a:ahLst/>
                            <a:cxnLst/>
                            <a:rect l="l" t="t" r="r" b="b"/>
                            <a:pathLst>
                              <a:path w="6526530" h="6350">
                                <a:moveTo>
                                  <a:pt x="6526517" y="0"/>
                                </a:moveTo>
                                <a:lnTo>
                                  <a:pt x="6526517" y="0"/>
                                </a:lnTo>
                                <a:lnTo>
                                  <a:pt x="0" y="0"/>
                                </a:lnTo>
                                <a:lnTo>
                                  <a:pt x="0" y="6083"/>
                                </a:lnTo>
                                <a:lnTo>
                                  <a:pt x="6526517" y="6083"/>
                                </a:lnTo>
                                <a:lnTo>
                                  <a:pt x="65265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13.9pt;height:.5pt;mso-position-horizontal-relative:char;mso-position-vertical-relative:line" id="docshapegroup63" coordorigin="0,0" coordsize="10278,10">
                <v:rect style="position:absolute;left:0;top:0;width:10278;height:10" id="docshape64" filled="true" fillcolor="#000000" stroked="false">
                  <v:fill type="solid"/>
                </v:rect>
              </v:group>
            </w:pict>
          </mc:Fallback>
        </mc:AlternateContent>
      </w:r>
      <w:r>
        <w:rPr>
          <w:sz w:val="2"/>
        </w:rPr>
      </w:r>
    </w:p>
    <w:p>
      <w:pPr>
        <w:pStyle w:val="BodyText"/>
        <w:spacing w:before="26"/>
      </w:pPr>
    </w:p>
    <w:p>
      <w:pPr>
        <w:pStyle w:val="BodyText"/>
        <w:ind w:left="151"/>
      </w:pPr>
      <w:r>
        <w:rPr/>
        <w:t>Os</w:t>
      </w:r>
      <w:r>
        <w:rPr>
          <w:spacing w:val="38"/>
        </w:rPr>
        <w:t> </w:t>
      </w:r>
      <w:r>
        <w:rPr/>
        <w:t>efeitos</w:t>
      </w:r>
      <w:r>
        <w:rPr>
          <w:spacing w:val="38"/>
        </w:rPr>
        <w:t> </w:t>
      </w:r>
      <w:r>
        <w:rPr/>
        <w:t>esperados</w:t>
      </w:r>
      <w:r>
        <w:rPr>
          <w:spacing w:val="38"/>
        </w:rPr>
        <w:t> </w:t>
      </w:r>
      <w:r>
        <w:rPr/>
        <w:t>da</w:t>
      </w:r>
      <w:r>
        <w:rPr>
          <w:spacing w:val="37"/>
        </w:rPr>
        <w:t> </w:t>
      </w:r>
      <w:r>
        <w:rPr/>
        <w:t>aplicação</w:t>
      </w:r>
      <w:r>
        <w:rPr>
          <w:spacing w:val="38"/>
        </w:rPr>
        <w:t> </w:t>
      </w:r>
      <w:r>
        <w:rPr/>
        <w:t>inicial</w:t>
      </w:r>
      <w:r>
        <w:rPr>
          <w:spacing w:val="38"/>
        </w:rPr>
        <w:t> </w:t>
      </w:r>
      <w:r>
        <w:rPr/>
        <w:t>referente</w:t>
      </w:r>
      <w:r>
        <w:rPr>
          <w:spacing w:val="36"/>
        </w:rPr>
        <w:t> </w:t>
      </w:r>
      <w:r>
        <w:rPr/>
        <w:t>aos</w:t>
      </w:r>
      <w:r>
        <w:rPr>
          <w:spacing w:val="38"/>
        </w:rPr>
        <w:t> </w:t>
      </w:r>
      <w:r>
        <w:rPr/>
        <w:t>normativos</w:t>
      </w:r>
      <w:r>
        <w:rPr>
          <w:spacing w:val="37"/>
        </w:rPr>
        <w:t> </w:t>
      </w:r>
      <w:r>
        <w:rPr/>
        <w:t>listados</w:t>
      </w:r>
      <w:r>
        <w:rPr>
          <w:spacing w:val="37"/>
        </w:rPr>
        <w:t> </w:t>
      </w:r>
      <w:r>
        <w:rPr/>
        <w:t>acima</w:t>
      </w:r>
      <w:r>
        <w:rPr>
          <w:spacing w:val="37"/>
        </w:rPr>
        <w:t> </w:t>
      </w:r>
      <w:r>
        <w:rPr/>
        <w:t>são</w:t>
      </w:r>
      <w:r>
        <w:rPr>
          <w:spacing w:val="38"/>
        </w:rPr>
        <w:t> </w:t>
      </w:r>
      <w:r>
        <w:rPr/>
        <w:t>os</w:t>
      </w:r>
      <w:r>
        <w:rPr>
          <w:spacing w:val="38"/>
        </w:rPr>
        <w:t> </w:t>
      </w:r>
      <w:r>
        <w:rPr/>
        <w:t>mesmos</w:t>
      </w:r>
      <w:r>
        <w:rPr>
          <w:spacing w:val="37"/>
        </w:rPr>
        <w:t> </w:t>
      </w:r>
      <w:r>
        <w:rPr/>
        <w:t>que</w:t>
      </w:r>
      <w:r>
        <w:rPr>
          <w:spacing w:val="37"/>
        </w:rPr>
        <w:t> </w:t>
      </w:r>
      <w:r>
        <w:rPr/>
        <w:t>foram apresentados para os respectivos normativos emitidos pelo IASB apresentados no item 5.1.</w:t>
      </w:r>
    </w:p>
    <w:p>
      <w:pPr>
        <w:pStyle w:val="BodyText"/>
        <w:rPr>
          <w:sz w:val="20"/>
        </w:rPr>
      </w:pPr>
    </w:p>
    <w:p>
      <w:pPr>
        <w:pStyle w:val="BodyText"/>
        <w:spacing w:before="49" w:after="1"/>
        <w:rPr>
          <w:sz w:val="20"/>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54"/>
        <w:gridCol w:w="5167"/>
      </w:tblGrid>
      <w:tr>
        <w:trPr>
          <w:trHeight w:val="406" w:hRule="atLeast"/>
        </w:trPr>
        <w:tc>
          <w:tcPr>
            <w:tcW w:w="5354" w:type="dxa"/>
          </w:tcPr>
          <w:p>
            <w:pPr>
              <w:pStyle w:val="TableParagraph"/>
              <w:tabs>
                <w:tab w:pos="617" w:val="left" w:leader="none"/>
              </w:tabs>
              <w:spacing w:line="265" w:lineRule="exact"/>
              <w:ind w:left="50"/>
              <w:rPr>
                <w:b/>
                <w:sz w:val="26"/>
              </w:rPr>
            </w:pPr>
            <w:r>
              <w:rPr>
                <w:b/>
                <w:spacing w:val="-5"/>
                <w:sz w:val="26"/>
              </w:rPr>
              <w:t>6.</w:t>
            </w:r>
            <w:r>
              <w:rPr>
                <w:b/>
                <w:sz w:val="26"/>
              </w:rPr>
              <w:tab/>
              <w:t>Contas</w:t>
            </w:r>
            <w:r>
              <w:rPr>
                <w:b/>
                <w:spacing w:val="-3"/>
                <w:sz w:val="26"/>
              </w:rPr>
              <w:t> </w:t>
            </w:r>
            <w:r>
              <w:rPr>
                <w:b/>
                <w:sz w:val="26"/>
              </w:rPr>
              <w:t>a</w:t>
            </w:r>
            <w:r>
              <w:rPr>
                <w:b/>
                <w:spacing w:val="-3"/>
                <w:sz w:val="26"/>
              </w:rPr>
              <w:t> </w:t>
            </w:r>
            <w:r>
              <w:rPr>
                <w:b/>
                <w:spacing w:val="-2"/>
                <w:sz w:val="26"/>
              </w:rPr>
              <w:t>receber</w:t>
            </w:r>
          </w:p>
        </w:tc>
        <w:tc>
          <w:tcPr>
            <w:tcW w:w="5167" w:type="dxa"/>
            <w:vMerge w:val="restart"/>
          </w:tcPr>
          <w:p>
            <w:pPr>
              <w:pStyle w:val="TableParagraph"/>
              <w:rPr>
                <w:rFonts w:ascii="Times New Roman"/>
                <w:sz w:val="20"/>
              </w:rPr>
            </w:pPr>
          </w:p>
        </w:tc>
      </w:tr>
      <w:tr>
        <w:trPr>
          <w:trHeight w:val="545" w:hRule="atLeast"/>
        </w:trPr>
        <w:tc>
          <w:tcPr>
            <w:tcW w:w="5354" w:type="dxa"/>
          </w:tcPr>
          <w:p>
            <w:pPr>
              <w:pStyle w:val="TableParagraph"/>
              <w:tabs>
                <w:tab w:pos="617" w:val="left" w:leader="none"/>
              </w:tabs>
              <w:spacing w:before="97"/>
              <w:ind w:left="50"/>
              <w:rPr>
                <w:b/>
                <w:sz w:val="24"/>
              </w:rPr>
            </w:pPr>
            <w:r>
              <w:rPr>
                <w:b/>
                <w:spacing w:val="-4"/>
                <w:sz w:val="24"/>
              </w:rPr>
              <w:t>6.1.</w:t>
            </w:r>
            <w:r>
              <w:rPr>
                <w:b/>
                <w:sz w:val="24"/>
              </w:rPr>
              <w:tab/>
              <w:t>Contas</w:t>
            </w:r>
            <w:r>
              <w:rPr>
                <w:b/>
                <w:spacing w:val="-1"/>
                <w:sz w:val="24"/>
              </w:rPr>
              <w:t> </w:t>
            </w:r>
            <w:r>
              <w:rPr>
                <w:b/>
                <w:sz w:val="24"/>
              </w:rPr>
              <w:t>a receber,</w:t>
            </w:r>
            <w:r>
              <w:rPr>
                <w:b/>
                <w:spacing w:val="-5"/>
                <w:sz w:val="24"/>
              </w:rPr>
              <w:t> </w:t>
            </w:r>
            <w:r>
              <w:rPr>
                <w:b/>
                <w:spacing w:val="-2"/>
                <w:sz w:val="24"/>
              </w:rPr>
              <w:t>líquidas</w:t>
            </w:r>
          </w:p>
        </w:tc>
        <w:tc>
          <w:tcPr>
            <w:tcW w:w="5167" w:type="dxa"/>
            <w:vMerge/>
            <w:tcBorders>
              <w:top w:val="nil"/>
            </w:tcBorders>
          </w:tcPr>
          <w:p>
            <w:pPr>
              <w:rPr>
                <w:sz w:val="2"/>
                <w:szCs w:val="2"/>
              </w:rPr>
            </w:pPr>
          </w:p>
        </w:tc>
      </w:tr>
      <w:tr>
        <w:trPr>
          <w:trHeight w:val="440" w:hRule="atLeast"/>
        </w:trPr>
        <w:tc>
          <w:tcPr>
            <w:tcW w:w="5354" w:type="dxa"/>
          </w:tcPr>
          <w:p>
            <w:pPr>
              <w:pStyle w:val="TableParagraph"/>
              <w:rPr>
                <w:rFonts w:ascii="Times New Roman"/>
                <w:sz w:val="20"/>
              </w:rPr>
            </w:pPr>
          </w:p>
        </w:tc>
        <w:tc>
          <w:tcPr>
            <w:tcW w:w="5167" w:type="dxa"/>
          </w:tcPr>
          <w:p>
            <w:pPr>
              <w:pStyle w:val="TableParagraph"/>
              <w:tabs>
                <w:tab w:pos="955" w:val="left" w:leader="none"/>
                <w:tab w:pos="2366" w:val="left" w:leader="none"/>
              </w:tabs>
              <w:spacing w:before="149"/>
              <w:ind w:right="58"/>
              <w:jc w:val="right"/>
              <w:rPr>
                <w:b/>
                <w:sz w:val="18"/>
              </w:rPr>
            </w:pPr>
            <w:r>
              <w:rPr>
                <w:rFonts w:ascii="Times New Roman"/>
                <w:sz w:val="18"/>
                <w:u w:val="thick"/>
              </w:rPr>
              <w:tab/>
            </w:r>
            <w:r>
              <w:rPr>
                <w:b/>
                <w:spacing w:val="-4"/>
                <w:sz w:val="18"/>
                <w:u w:val="thick"/>
              </w:rPr>
              <w:t>2022</w:t>
            </w:r>
            <w:r>
              <w:rPr>
                <w:b/>
                <w:sz w:val="18"/>
                <w:u w:val="thick"/>
              </w:rPr>
              <w:tab/>
            </w:r>
            <w:r>
              <w:rPr>
                <w:b/>
                <w:spacing w:val="-4"/>
                <w:sz w:val="18"/>
                <w:u w:val="thick"/>
              </w:rPr>
              <w:t>2021</w:t>
            </w:r>
            <w:r>
              <w:rPr>
                <w:b/>
                <w:spacing w:val="40"/>
                <w:sz w:val="18"/>
                <w:u w:val="thick"/>
              </w:rPr>
              <w:t> </w:t>
            </w:r>
          </w:p>
        </w:tc>
      </w:tr>
      <w:tr>
        <w:trPr>
          <w:trHeight w:val="287" w:hRule="atLeast"/>
        </w:trPr>
        <w:tc>
          <w:tcPr>
            <w:tcW w:w="5354" w:type="dxa"/>
          </w:tcPr>
          <w:p>
            <w:pPr>
              <w:pStyle w:val="TableParagraph"/>
              <w:spacing w:before="39"/>
              <w:ind w:left="118"/>
              <w:rPr>
                <w:sz w:val="18"/>
              </w:rPr>
            </w:pPr>
            <w:r>
              <w:rPr>
                <w:spacing w:val="-2"/>
                <w:sz w:val="18"/>
              </w:rPr>
              <w:t>Terceiros</w:t>
            </w:r>
          </w:p>
        </w:tc>
        <w:tc>
          <w:tcPr>
            <w:tcW w:w="5167" w:type="dxa"/>
          </w:tcPr>
          <w:p>
            <w:pPr>
              <w:pStyle w:val="TableParagraph"/>
              <w:tabs>
                <w:tab w:pos="4435" w:val="left" w:leader="none"/>
              </w:tabs>
              <w:spacing w:before="39"/>
              <w:ind w:left="3088"/>
              <w:rPr>
                <w:sz w:val="18"/>
              </w:rPr>
            </w:pPr>
            <w:r>
              <w:rPr>
                <w:spacing w:val="-2"/>
                <w:sz w:val="18"/>
              </w:rPr>
              <w:t>4.325</w:t>
            </w:r>
            <w:r>
              <w:rPr>
                <w:sz w:val="18"/>
              </w:rPr>
              <w:tab/>
            </w:r>
            <w:r>
              <w:rPr>
                <w:spacing w:val="-2"/>
                <w:sz w:val="18"/>
              </w:rPr>
              <w:t>4.608</w:t>
            </w:r>
          </w:p>
        </w:tc>
      </w:tr>
      <w:tr>
        <w:trPr>
          <w:trHeight w:val="242" w:hRule="atLeast"/>
        </w:trPr>
        <w:tc>
          <w:tcPr>
            <w:tcW w:w="5354" w:type="dxa"/>
          </w:tcPr>
          <w:p>
            <w:pPr>
              <w:pStyle w:val="TableParagraph"/>
              <w:spacing w:line="216" w:lineRule="exact"/>
              <w:ind w:left="118"/>
              <w:rPr>
                <w:sz w:val="18"/>
              </w:rPr>
            </w:pPr>
            <w:r>
              <w:rPr>
                <w:sz w:val="18"/>
              </w:rPr>
              <w:t>Partes</w:t>
            </w:r>
            <w:r>
              <w:rPr>
                <w:spacing w:val="-5"/>
                <w:sz w:val="18"/>
              </w:rPr>
              <w:t> </w:t>
            </w:r>
            <w:r>
              <w:rPr>
                <w:sz w:val="18"/>
              </w:rPr>
              <w:t>relacionadas</w:t>
            </w:r>
            <w:r>
              <w:rPr>
                <w:spacing w:val="-4"/>
                <w:sz w:val="18"/>
              </w:rPr>
              <w:t> </w:t>
            </w:r>
            <w:r>
              <w:rPr>
                <w:sz w:val="18"/>
              </w:rPr>
              <w:t>(nota</w:t>
            </w:r>
            <w:r>
              <w:rPr>
                <w:spacing w:val="-4"/>
                <w:sz w:val="18"/>
              </w:rPr>
              <w:t> </w:t>
            </w:r>
            <w:r>
              <w:rPr>
                <w:spacing w:val="-5"/>
                <w:sz w:val="18"/>
              </w:rPr>
              <w:t>9)</w:t>
            </w:r>
          </w:p>
        </w:tc>
        <w:tc>
          <w:tcPr>
            <w:tcW w:w="5167" w:type="dxa"/>
          </w:tcPr>
          <w:p>
            <w:pPr>
              <w:pStyle w:val="TableParagraph"/>
              <w:rPr>
                <w:rFonts w:ascii="Times New Roman"/>
                <w:sz w:val="16"/>
              </w:rPr>
            </w:pPr>
          </w:p>
        </w:tc>
      </w:tr>
      <w:tr>
        <w:trPr>
          <w:trHeight w:val="227" w:hRule="atLeast"/>
        </w:trPr>
        <w:tc>
          <w:tcPr>
            <w:tcW w:w="5354" w:type="dxa"/>
          </w:tcPr>
          <w:p>
            <w:pPr>
              <w:pStyle w:val="TableParagraph"/>
              <w:spacing w:line="207" w:lineRule="exact"/>
              <w:ind w:left="157"/>
              <w:rPr>
                <w:sz w:val="18"/>
              </w:rPr>
            </w:pPr>
            <w:r>
              <w:rPr>
                <w:sz w:val="18"/>
              </w:rPr>
              <w:t>Contas</w:t>
            </w:r>
            <w:r>
              <w:rPr>
                <w:spacing w:val="-2"/>
                <w:sz w:val="18"/>
              </w:rPr>
              <w:t> </w:t>
            </w:r>
            <w:r>
              <w:rPr>
                <w:sz w:val="18"/>
              </w:rPr>
              <w:t>a</w:t>
            </w:r>
            <w:r>
              <w:rPr>
                <w:spacing w:val="-2"/>
                <w:sz w:val="18"/>
              </w:rPr>
              <w:t> </w:t>
            </w:r>
            <w:r>
              <w:rPr>
                <w:sz w:val="18"/>
              </w:rPr>
              <w:t>receber</w:t>
            </w:r>
            <w:r>
              <w:rPr>
                <w:spacing w:val="-2"/>
                <w:sz w:val="18"/>
              </w:rPr>
              <w:t> </w:t>
            </w:r>
            <w:r>
              <w:rPr>
                <w:sz w:val="18"/>
              </w:rPr>
              <w:t>por</w:t>
            </w:r>
            <w:r>
              <w:rPr>
                <w:spacing w:val="-2"/>
                <w:sz w:val="18"/>
              </w:rPr>
              <w:t> venda</w:t>
            </w:r>
          </w:p>
        </w:tc>
        <w:tc>
          <w:tcPr>
            <w:tcW w:w="5167" w:type="dxa"/>
          </w:tcPr>
          <w:p>
            <w:pPr>
              <w:pStyle w:val="TableParagraph"/>
              <w:tabs>
                <w:tab w:pos="1127" w:val="left" w:leader="none"/>
              </w:tabs>
              <w:spacing w:line="207" w:lineRule="exact"/>
              <w:ind w:right="318"/>
              <w:jc w:val="right"/>
              <w:rPr>
                <w:sz w:val="18"/>
              </w:rPr>
            </w:pPr>
            <w:r>
              <w:rPr>
                <w:spacing w:val="-10"/>
                <w:sz w:val="18"/>
              </w:rPr>
              <w:t>‐</w:t>
            </w:r>
            <w:r>
              <w:rPr>
                <w:sz w:val="18"/>
              </w:rPr>
              <w:tab/>
            </w:r>
            <w:r>
              <w:rPr>
                <w:spacing w:val="-5"/>
                <w:sz w:val="18"/>
              </w:rPr>
              <w:t>249</w:t>
            </w:r>
          </w:p>
        </w:tc>
      </w:tr>
      <w:tr>
        <w:trPr>
          <w:trHeight w:val="265" w:hRule="atLeast"/>
        </w:trPr>
        <w:tc>
          <w:tcPr>
            <w:tcW w:w="5354" w:type="dxa"/>
          </w:tcPr>
          <w:p>
            <w:pPr>
              <w:pStyle w:val="TableParagraph"/>
              <w:spacing w:before="6"/>
              <w:ind w:left="118"/>
              <w:rPr>
                <w:sz w:val="18"/>
              </w:rPr>
            </w:pPr>
            <w:r>
              <w:rPr>
                <w:sz w:val="18"/>
              </w:rPr>
              <w:t>Perdas</w:t>
            </w:r>
            <w:r>
              <w:rPr>
                <w:spacing w:val="-3"/>
                <w:sz w:val="18"/>
              </w:rPr>
              <w:t> </w:t>
            </w:r>
            <w:r>
              <w:rPr>
                <w:sz w:val="18"/>
              </w:rPr>
              <w:t>de</w:t>
            </w:r>
            <w:r>
              <w:rPr>
                <w:spacing w:val="-2"/>
                <w:sz w:val="18"/>
              </w:rPr>
              <w:t> </w:t>
            </w:r>
            <w:r>
              <w:rPr>
                <w:sz w:val="18"/>
              </w:rPr>
              <w:t>créditos</w:t>
            </w:r>
            <w:r>
              <w:rPr>
                <w:spacing w:val="-1"/>
                <w:sz w:val="18"/>
              </w:rPr>
              <w:t> </w:t>
            </w:r>
            <w:r>
              <w:rPr>
                <w:sz w:val="18"/>
              </w:rPr>
              <w:t>esperadas</w:t>
            </w:r>
            <w:r>
              <w:rPr>
                <w:spacing w:val="-2"/>
                <w:sz w:val="18"/>
              </w:rPr>
              <w:t> </w:t>
            </w:r>
            <w:r>
              <w:rPr>
                <w:sz w:val="18"/>
              </w:rPr>
              <w:t>‐</w:t>
            </w:r>
            <w:r>
              <w:rPr>
                <w:spacing w:val="-2"/>
                <w:sz w:val="18"/>
              </w:rPr>
              <w:t> </w:t>
            </w:r>
            <w:r>
              <w:rPr>
                <w:spacing w:val="-5"/>
                <w:sz w:val="18"/>
              </w:rPr>
              <w:t>PCE</w:t>
            </w:r>
          </w:p>
        </w:tc>
        <w:tc>
          <w:tcPr>
            <w:tcW w:w="5167" w:type="dxa"/>
          </w:tcPr>
          <w:p>
            <w:pPr>
              <w:pStyle w:val="TableParagraph"/>
              <w:tabs>
                <w:tab w:pos="796" w:val="left" w:leader="none"/>
                <w:tab w:pos="2204" w:val="left" w:leader="none"/>
                <w:tab w:pos="2930" w:val="left" w:leader="none"/>
              </w:tabs>
              <w:spacing w:before="6"/>
              <w:ind w:right="53"/>
              <w:jc w:val="right"/>
              <w:rPr>
                <w:sz w:val="18"/>
              </w:rPr>
            </w:pPr>
            <w:r>
              <w:rPr>
                <w:rFonts w:ascii="Times New Roman"/>
                <w:sz w:val="18"/>
                <w:u w:val="thick"/>
              </w:rPr>
              <w:tab/>
            </w:r>
            <w:r>
              <w:rPr>
                <w:spacing w:val="-2"/>
                <w:sz w:val="18"/>
                <w:u w:val="thick"/>
              </w:rPr>
              <w:t>(4.325)</w:t>
            </w:r>
            <w:r>
              <w:rPr>
                <w:sz w:val="18"/>
                <w:u w:val="thick"/>
              </w:rPr>
              <w:tab/>
            </w:r>
            <w:r>
              <w:rPr>
                <w:spacing w:val="-2"/>
                <w:sz w:val="18"/>
                <w:u w:val="thick"/>
              </w:rPr>
              <w:t>(4.551)</w:t>
            </w:r>
            <w:r>
              <w:rPr>
                <w:sz w:val="18"/>
                <w:u w:val="thick"/>
              </w:rPr>
              <w:tab/>
            </w:r>
          </w:p>
        </w:tc>
      </w:tr>
      <w:tr>
        <w:trPr>
          <w:trHeight w:val="254" w:hRule="atLeast"/>
        </w:trPr>
        <w:tc>
          <w:tcPr>
            <w:tcW w:w="5354" w:type="dxa"/>
          </w:tcPr>
          <w:p>
            <w:pPr>
              <w:pStyle w:val="TableParagraph"/>
              <w:rPr>
                <w:rFonts w:ascii="Times New Roman"/>
                <w:sz w:val="18"/>
              </w:rPr>
            </w:pPr>
          </w:p>
        </w:tc>
        <w:tc>
          <w:tcPr>
            <w:tcW w:w="5167" w:type="dxa"/>
          </w:tcPr>
          <w:p>
            <w:pPr>
              <w:pStyle w:val="TableParagraph"/>
              <w:tabs>
                <w:tab w:pos="1127" w:val="left" w:leader="none"/>
              </w:tabs>
              <w:spacing w:before="6"/>
              <w:ind w:right="318"/>
              <w:jc w:val="right"/>
              <w:rPr>
                <w:sz w:val="18"/>
              </w:rPr>
            </w:pPr>
            <w:r>
              <w:rPr>
                <w:spacing w:val="-10"/>
                <w:sz w:val="18"/>
              </w:rPr>
              <w:t>‐</w:t>
            </w:r>
            <w:r>
              <w:rPr>
                <w:sz w:val="18"/>
              </w:rPr>
              <w:tab/>
            </w:r>
            <w:r>
              <w:rPr>
                <w:spacing w:val="-5"/>
                <w:sz w:val="18"/>
              </w:rPr>
              <w:t>306</w:t>
            </w:r>
          </w:p>
        </w:tc>
      </w:tr>
      <w:tr>
        <w:trPr>
          <w:trHeight w:val="282" w:hRule="atLeast"/>
        </w:trPr>
        <w:tc>
          <w:tcPr>
            <w:tcW w:w="5354" w:type="dxa"/>
          </w:tcPr>
          <w:p>
            <w:pPr>
              <w:pStyle w:val="TableParagraph"/>
              <w:spacing w:before="20"/>
              <w:ind w:left="118"/>
              <w:rPr>
                <w:sz w:val="18"/>
              </w:rPr>
            </w:pPr>
            <w:r>
              <w:rPr>
                <w:sz w:val="18"/>
              </w:rPr>
              <w:t>Contas</w:t>
            </w:r>
            <w:r>
              <w:rPr>
                <w:spacing w:val="-4"/>
                <w:sz w:val="18"/>
              </w:rPr>
              <w:t> </w:t>
            </w:r>
            <w:r>
              <w:rPr>
                <w:sz w:val="18"/>
              </w:rPr>
              <w:t>a</w:t>
            </w:r>
            <w:r>
              <w:rPr>
                <w:spacing w:val="-1"/>
                <w:sz w:val="18"/>
              </w:rPr>
              <w:t> </w:t>
            </w:r>
            <w:r>
              <w:rPr>
                <w:sz w:val="18"/>
              </w:rPr>
              <w:t>receber</w:t>
            </w:r>
            <w:r>
              <w:rPr>
                <w:spacing w:val="-3"/>
                <w:sz w:val="18"/>
              </w:rPr>
              <w:t> </w:t>
            </w:r>
            <w:r>
              <w:rPr>
                <w:sz w:val="18"/>
              </w:rPr>
              <w:t>‐</w:t>
            </w:r>
            <w:r>
              <w:rPr>
                <w:spacing w:val="-1"/>
                <w:sz w:val="18"/>
              </w:rPr>
              <w:t> </w:t>
            </w:r>
            <w:r>
              <w:rPr>
                <w:sz w:val="18"/>
              </w:rPr>
              <w:t>FIDC</w:t>
            </w:r>
            <w:r>
              <w:rPr>
                <w:spacing w:val="-2"/>
                <w:sz w:val="18"/>
              </w:rPr>
              <w:t> </w:t>
            </w:r>
            <w:r>
              <w:rPr>
                <w:sz w:val="18"/>
              </w:rPr>
              <w:t>(nota</w:t>
            </w:r>
            <w:r>
              <w:rPr>
                <w:spacing w:val="-1"/>
                <w:sz w:val="18"/>
              </w:rPr>
              <w:t> </w:t>
            </w:r>
            <w:r>
              <w:rPr>
                <w:sz w:val="18"/>
              </w:rPr>
              <w:t>9)</w:t>
            </w:r>
            <w:r>
              <w:rPr>
                <w:spacing w:val="-2"/>
                <w:sz w:val="18"/>
              </w:rPr>
              <w:t> </w:t>
            </w:r>
            <w:r>
              <w:rPr>
                <w:spacing w:val="-5"/>
                <w:sz w:val="18"/>
              </w:rPr>
              <w:t>(i)</w:t>
            </w:r>
          </w:p>
        </w:tc>
        <w:tc>
          <w:tcPr>
            <w:tcW w:w="5167" w:type="dxa"/>
          </w:tcPr>
          <w:p>
            <w:pPr>
              <w:pStyle w:val="TableParagraph"/>
              <w:tabs>
                <w:tab w:pos="807" w:val="left" w:leader="none"/>
                <w:tab w:pos="2218" w:val="left" w:leader="none"/>
                <w:tab w:pos="2930" w:val="left" w:leader="none"/>
              </w:tabs>
              <w:spacing w:before="20"/>
              <w:ind w:right="47"/>
              <w:jc w:val="right"/>
              <w:rPr>
                <w:sz w:val="18"/>
              </w:rPr>
            </w:pPr>
            <w:r>
              <w:rPr>
                <w:rFonts w:ascii="Times New Roman"/>
                <w:sz w:val="18"/>
                <w:u w:val="thick"/>
              </w:rPr>
              <w:tab/>
            </w:r>
            <w:r>
              <w:rPr>
                <w:spacing w:val="-2"/>
                <w:sz w:val="18"/>
                <w:u w:val="thick"/>
              </w:rPr>
              <w:t>92.918</w:t>
            </w:r>
            <w:r>
              <w:rPr>
                <w:sz w:val="18"/>
                <w:u w:val="thick"/>
              </w:rPr>
              <w:tab/>
            </w:r>
            <w:r>
              <w:rPr>
                <w:spacing w:val="-2"/>
                <w:sz w:val="18"/>
                <w:u w:val="thick"/>
              </w:rPr>
              <w:t>59.535</w:t>
            </w:r>
            <w:r>
              <w:rPr>
                <w:sz w:val="18"/>
                <w:u w:val="thick"/>
              </w:rPr>
              <w:tab/>
            </w:r>
          </w:p>
        </w:tc>
      </w:tr>
      <w:tr>
        <w:trPr>
          <w:trHeight w:val="257" w:hRule="atLeast"/>
        </w:trPr>
        <w:tc>
          <w:tcPr>
            <w:tcW w:w="5354" w:type="dxa"/>
          </w:tcPr>
          <w:p>
            <w:pPr>
              <w:pStyle w:val="TableParagraph"/>
              <w:rPr>
                <w:rFonts w:ascii="Times New Roman"/>
                <w:sz w:val="18"/>
              </w:rPr>
            </w:pPr>
          </w:p>
        </w:tc>
        <w:tc>
          <w:tcPr>
            <w:tcW w:w="5167" w:type="dxa"/>
          </w:tcPr>
          <w:p>
            <w:pPr>
              <w:pStyle w:val="TableParagraph"/>
              <w:tabs>
                <w:tab w:pos="4343" w:val="left" w:leader="none"/>
              </w:tabs>
              <w:spacing w:before="9"/>
              <w:ind w:left="2997"/>
              <w:rPr>
                <w:sz w:val="18"/>
              </w:rPr>
            </w:pPr>
            <w:r>
              <w:rPr/>
              <mc:AlternateContent>
                <mc:Choice Requires="wps">
                  <w:drawing>
                    <wp:anchor distT="0" distB="0" distL="0" distR="0" allowOverlap="1" layoutInCell="1" locked="0" behindDoc="0" simplePos="0" relativeHeight="15747072">
                      <wp:simplePos x="0" y="0"/>
                      <wp:positionH relativeFrom="column">
                        <wp:posOffset>1386678</wp:posOffset>
                      </wp:positionH>
                      <wp:positionV relativeFrom="paragraph">
                        <wp:posOffset>144263</wp:posOffset>
                      </wp:positionV>
                      <wp:extent cx="1724660" cy="1905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724660" cy="19050"/>
                                <a:chExt cx="1724660" cy="19050"/>
                              </a:xfrm>
                            </wpg:grpSpPr>
                            <wps:wsp>
                              <wps:cNvPr id="81" name="Graphic 81"/>
                              <wps:cNvSpPr/>
                              <wps:spPr>
                                <a:xfrm>
                                  <a:off x="0" y="9905"/>
                                  <a:ext cx="867410" cy="1270"/>
                                </a:xfrm>
                                <a:custGeom>
                                  <a:avLst/>
                                  <a:gdLst/>
                                  <a:ahLst/>
                                  <a:cxnLst/>
                                  <a:rect l="l" t="t" r="r" b="b"/>
                                  <a:pathLst>
                                    <a:path w="867410" h="0">
                                      <a:moveTo>
                                        <a:pt x="0" y="0"/>
                                      </a:moveTo>
                                      <a:lnTo>
                                        <a:pt x="867156" y="0"/>
                                      </a:lnTo>
                                    </a:path>
                                  </a:pathLst>
                                </a:custGeom>
                                <a:ln w="18288">
                                  <a:solidFill>
                                    <a:srgbClr val="000000"/>
                                  </a:solidFill>
                                  <a:prstDash val="solid"/>
                                </a:ln>
                              </wps:spPr>
                              <wps:bodyPr wrap="square" lIns="0" tIns="0" rIns="0" bIns="0" rtlCol="0">
                                <a:prstTxWarp prst="textNoShape">
                                  <a:avLst/>
                                </a:prstTxWarp>
                                <a:noAutofit/>
                              </wps:bodyPr>
                            </wps:wsp>
                            <wps:wsp>
                              <wps:cNvPr id="82" name="Graphic 82"/>
                              <wps:cNvSpPr/>
                              <wps:spPr>
                                <a:xfrm>
                                  <a:off x="858011" y="0"/>
                                  <a:ext cx="18415" cy="18415"/>
                                </a:xfrm>
                                <a:custGeom>
                                  <a:avLst/>
                                  <a:gdLst/>
                                  <a:ahLst/>
                                  <a:cxnLst/>
                                  <a:rect l="l" t="t" r="r" b="b"/>
                                  <a:pathLst>
                                    <a:path w="18415" h="18415">
                                      <a:moveTo>
                                        <a:pt x="18287" y="0"/>
                                      </a:moveTo>
                                      <a:lnTo>
                                        <a:pt x="0" y="0"/>
                                      </a:lnTo>
                                      <a:lnTo>
                                        <a:pt x="0" y="18287"/>
                                      </a:lnTo>
                                      <a:lnTo>
                                        <a:pt x="18287" y="18287"/>
                                      </a:lnTo>
                                      <a:lnTo>
                                        <a:pt x="18287" y="0"/>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877061" y="9905"/>
                                  <a:ext cx="847725" cy="1270"/>
                                </a:xfrm>
                                <a:custGeom>
                                  <a:avLst/>
                                  <a:gdLst/>
                                  <a:ahLst/>
                                  <a:cxnLst/>
                                  <a:rect l="l" t="t" r="r" b="b"/>
                                  <a:pathLst>
                                    <a:path w="847725" h="0">
                                      <a:moveTo>
                                        <a:pt x="0" y="0"/>
                                      </a:moveTo>
                                      <a:lnTo>
                                        <a:pt x="847344" y="0"/>
                                      </a:lnTo>
                                    </a:path>
                                  </a:pathLst>
                                </a:custGeom>
                                <a:ln w="1828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9.187286pt;margin-top:11.359324pt;width:135.8pt;height:1.5pt;mso-position-horizontal-relative:column;mso-position-vertical-relative:paragraph;z-index:15747072" id="docshapegroup65" coordorigin="2184,227" coordsize="2716,30">
                      <v:line style="position:absolute" from="2184,243" to="3549,243" stroked="true" strokeweight="1.44pt" strokecolor="#000000">
                        <v:stroke dashstyle="solid"/>
                      </v:line>
                      <v:rect style="position:absolute;left:3534;top:227;width:29;height:29" id="docshape66" filled="true" fillcolor="#000000" stroked="false">
                        <v:fill type="solid"/>
                      </v:rect>
                      <v:line style="position:absolute" from="3565,243" to="4899,243" stroked="true" strokeweight="1.44pt" strokecolor="#000000">
                        <v:stroke dashstyle="solid"/>
                      </v:line>
                      <w10:wrap type="none"/>
                    </v:group>
                  </w:pict>
                </mc:Fallback>
              </mc:AlternateContent>
            </w:r>
            <w:r>
              <w:rPr>
                <w:spacing w:val="-2"/>
                <w:sz w:val="18"/>
              </w:rPr>
              <w:t>92.918</w:t>
            </w:r>
            <w:r>
              <w:rPr>
                <w:sz w:val="18"/>
              </w:rPr>
              <w:tab/>
            </w:r>
            <w:r>
              <w:rPr>
                <w:spacing w:val="-2"/>
                <w:sz w:val="18"/>
              </w:rPr>
              <w:t>59.841</w:t>
            </w:r>
          </w:p>
        </w:tc>
      </w:tr>
    </w:tbl>
    <w:p>
      <w:pPr>
        <w:pStyle w:val="BodyText"/>
        <w:spacing w:before="42"/>
      </w:pPr>
    </w:p>
    <w:p>
      <w:pPr>
        <w:pStyle w:val="BodyText"/>
        <w:tabs>
          <w:tab w:pos="1231" w:val="left" w:leader="none"/>
        </w:tabs>
        <w:ind w:left="1231" w:right="355" w:hanging="722"/>
        <w:jc w:val="both"/>
      </w:pPr>
      <w:r>
        <w:rPr>
          <w:spacing w:val="-4"/>
        </w:rPr>
        <w:t>(i)</w:t>
      </w:r>
      <w:r>
        <w:rPr/>
        <w:tab/>
        <w:t>Representam</w:t>
      </w:r>
      <w:r>
        <w:rPr>
          <w:spacing w:val="-10"/>
        </w:rPr>
        <w:t> </w:t>
      </w:r>
      <w:r>
        <w:rPr/>
        <w:t>recursos</w:t>
      </w:r>
      <w:r>
        <w:rPr>
          <w:spacing w:val="-11"/>
        </w:rPr>
        <w:t> </w:t>
      </w:r>
      <w:r>
        <w:rPr/>
        <w:t>aplicados</w:t>
      </w:r>
      <w:r>
        <w:rPr>
          <w:spacing w:val="-10"/>
        </w:rPr>
        <w:t> </w:t>
      </w:r>
      <w:r>
        <w:rPr/>
        <w:t>em</w:t>
      </w:r>
      <w:r>
        <w:rPr>
          <w:spacing w:val="-8"/>
        </w:rPr>
        <w:t> </w:t>
      </w:r>
      <w:r>
        <w:rPr/>
        <w:t>quotas</w:t>
      </w:r>
      <w:r>
        <w:rPr>
          <w:spacing w:val="-11"/>
        </w:rPr>
        <w:t> </w:t>
      </w:r>
      <w:r>
        <w:rPr/>
        <w:t>seniores</w:t>
      </w:r>
      <w:r>
        <w:rPr>
          <w:spacing w:val="-10"/>
        </w:rPr>
        <w:t> </w:t>
      </w:r>
      <w:r>
        <w:rPr/>
        <w:t>do</w:t>
      </w:r>
      <w:r>
        <w:rPr>
          <w:spacing w:val="-8"/>
        </w:rPr>
        <w:t> </w:t>
      </w:r>
      <w:r>
        <w:rPr/>
        <w:t>Fundo</w:t>
      </w:r>
      <w:r>
        <w:rPr>
          <w:spacing w:val="-8"/>
        </w:rPr>
        <w:t> </w:t>
      </w:r>
      <w:r>
        <w:rPr/>
        <w:t>de</w:t>
      </w:r>
      <w:r>
        <w:rPr>
          <w:spacing w:val="-8"/>
        </w:rPr>
        <w:t> </w:t>
      </w:r>
      <w:r>
        <w:rPr/>
        <w:t>Investimento</w:t>
      </w:r>
      <w:r>
        <w:rPr>
          <w:spacing w:val="-10"/>
        </w:rPr>
        <w:t> </w:t>
      </w:r>
      <w:r>
        <w:rPr/>
        <w:t>em</w:t>
      </w:r>
      <w:r>
        <w:rPr>
          <w:spacing w:val="-10"/>
        </w:rPr>
        <w:t> </w:t>
      </w:r>
      <w:r>
        <w:rPr/>
        <w:t>Direitos</w:t>
      </w:r>
      <w:r>
        <w:rPr>
          <w:spacing w:val="-10"/>
        </w:rPr>
        <w:t> </w:t>
      </w:r>
      <w:r>
        <w:rPr/>
        <w:t>Creditórios Não Padronizados (FIDC‐NP). O FIDC‐NP é exclusivo da Petrobras e suas Controladas, destinado preponderantemente à aquisição de direitos creditórios performados e/ou não performados de operações realizadas por controladas da Petrobras. A aplicação desses recursos no FIDC‐NP, é tratada como "recebíveis", considerando que o lastro desse fundo é, principalmente, em direitos creditórios adquiridos e são classificados na categoria de valor justo por meio do</w:t>
      </w:r>
      <w:r>
        <w:rPr>
          <w:spacing w:val="-1"/>
        </w:rPr>
        <w:t> </w:t>
      </w:r>
      <w:r>
        <w:rPr/>
        <w:t>resultado.</w:t>
      </w:r>
    </w:p>
    <w:p>
      <w:pPr>
        <w:pStyle w:val="BodyText"/>
        <w:spacing w:before="242"/>
        <w:ind w:left="152"/>
      </w:pPr>
      <w:r>
        <w:rPr/>
        <w:t>A</w:t>
      </w:r>
      <w:r>
        <w:rPr>
          <w:spacing w:val="-9"/>
        </w:rPr>
        <w:t> </w:t>
      </w:r>
      <w:r>
        <w:rPr/>
        <w:t>exposição</w:t>
      </w:r>
      <w:r>
        <w:rPr>
          <w:spacing w:val="-6"/>
        </w:rPr>
        <w:t> </w:t>
      </w:r>
      <w:r>
        <w:rPr/>
        <w:t>da</w:t>
      </w:r>
      <w:r>
        <w:rPr>
          <w:spacing w:val="-8"/>
        </w:rPr>
        <w:t> </w:t>
      </w:r>
      <w:r>
        <w:rPr/>
        <w:t>Companhia</w:t>
      </w:r>
      <w:r>
        <w:rPr>
          <w:spacing w:val="-6"/>
        </w:rPr>
        <w:t> </w:t>
      </w:r>
      <w:r>
        <w:rPr/>
        <w:t>ao</w:t>
      </w:r>
      <w:r>
        <w:rPr>
          <w:spacing w:val="-8"/>
        </w:rPr>
        <w:t> </w:t>
      </w:r>
      <w:r>
        <w:rPr/>
        <w:t>risco</w:t>
      </w:r>
      <w:r>
        <w:rPr>
          <w:spacing w:val="-7"/>
        </w:rPr>
        <w:t> </w:t>
      </w:r>
      <w:r>
        <w:rPr/>
        <w:t>de</w:t>
      </w:r>
      <w:r>
        <w:rPr>
          <w:spacing w:val="-6"/>
        </w:rPr>
        <w:t> </w:t>
      </w:r>
      <w:r>
        <w:rPr/>
        <w:t>crédito</w:t>
      </w:r>
      <w:r>
        <w:rPr>
          <w:spacing w:val="-7"/>
        </w:rPr>
        <w:t> </w:t>
      </w:r>
      <w:r>
        <w:rPr/>
        <w:t>associado</w:t>
      </w:r>
      <w:r>
        <w:rPr>
          <w:spacing w:val="-7"/>
        </w:rPr>
        <w:t> </w:t>
      </w:r>
      <w:r>
        <w:rPr/>
        <w:t>aos</w:t>
      </w:r>
      <w:r>
        <w:rPr>
          <w:spacing w:val="-7"/>
        </w:rPr>
        <w:t> </w:t>
      </w:r>
      <w:r>
        <w:rPr/>
        <w:t>clientes</w:t>
      </w:r>
      <w:r>
        <w:rPr>
          <w:spacing w:val="-7"/>
        </w:rPr>
        <w:t> </w:t>
      </w:r>
      <w:r>
        <w:rPr/>
        <w:t>está</w:t>
      </w:r>
      <w:r>
        <w:rPr>
          <w:spacing w:val="-7"/>
        </w:rPr>
        <w:t> </w:t>
      </w:r>
      <w:r>
        <w:rPr/>
        <w:t>divulgada</w:t>
      </w:r>
      <w:r>
        <w:rPr>
          <w:spacing w:val="-8"/>
        </w:rPr>
        <w:t> </w:t>
      </w:r>
      <w:r>
        <w:rPr/>
        <w:t>na</w:t>
      </w:r>
      <w:r>
        <w:rPr>
          <w:spacing w:val="-6"/>
        </w:rPr>
        <w:t> </w:t>
      </w:r>
      <w:r>
        <w:rPr/>
        <w:t>nota</w:t>
      </w:r>
      <w:r>
        <w:rPr>
          <w:spacing w:val="-7"/>
        </w:rPr>
        <w:t> </w:t>
      </w:r>
      <w:r>
        <w:rPr/>
        <w:t>explicativa</w:t>
      </w:r>
      <w:r>
        <w:rPr>
          <w:spacing w:val="-7"/>
        </w:rPr>
        <w:t> </w:t>
      </w:r>
      <w:r>
        <w:rPr>
          <w:spacing w:val="-5"/>
        </w:rPr>
        <w:t>17.</w:t>
      </w:r>
    </w:p>
    <w:p>
      <w:pPr>
        <w:spacing w:before="238"/>
        <w:ind w:left="152" w:right="0" w:firstLine="0"/>
        <w:jc w:val="left"/>
        <w:rPr>
          <w:b/>
          <w:sz w:val="24"/>
        </w:rPr>
      </w:pPr>
      <w:r>
        <w:rPr>
          <w:b/>
          <w:sz w:val="24"/>
        </w:rPr>
        <w:t>Prática</w:t>
      </w:r>
      <w:r>
        <w:rPr>
          <w:b/>
          <w:spacing w:val="-7"/>
          <w:sz w:val="24"/>
        </w:rPr>
        <w:t> </w:t>
      </w:r>
      <w:r>
        <w:rPr>
          <w:b/>
          <w:spacing w:val="-2"/>
          <w:sz w:val="24"/>
        </w:rPr>
        <w:t>contábil</w:t>
      </w:r>
    </w:p>
    <w:p>
      <w:pPr>
        <w:spacing w:before="241"/>
        <w:ind w:left="151" w:right="0" w:firstLine="0"/>
        <w:jc w:val="left"/>
        <w:rPr>
          <w:sz w:val="24"/>
        </w:rPr>
      </w:pPr>
      <w:r>
        <w:rPr>
          <w:sz w:val="24"/>
        </w:rPr>
        <w:t>São</w:t>
      </w:r>
      <w:r>
        <w:rPr>
          <w:spacing w:val="-3"/>
          <w:sz w:val="24"/>
        </w:rPr>
        <w:t> </w:t>
      </w:r>
      <w:r>
        <w:rPr>
          <w:sz w:val="24"/>
        </w:rPr>
        <w:t>contabilizados</w:t>
      </w:r>
      <w:r>
        <w:rPr>
          <w:spacing w:val="-5"/>
          <w:sz w:val="24"/>
        </w:rPr>
        <w:t> </w:t>
      </w:r>
      <w:r>
        <w:rPr>
          <w:sz w:val="24"/>
        </w:rPr>
        <w:t>inicialmente</w:t>
      </w:r>
      <w:r>
        <w:rPr>
          <w:spacing w:val="-4"/>
          <w:sz w:val="24"/>
        </w:rPr>
        <w:t> </w:t>
      </w:r>
      <w:r>
        <w:rPr>
          <w:sz w:val="24"/>
        </w:rPr>
        <w:t>pelo</w:t>
      </w:r>
      <w:r>
        <w:rPr>
          <w:spacing w:val="-2"/>
          <w:sz w:val="24"/>
        </w:rPr>
        <w:t> </w:t>
      </w:r>
      <w:r>
        <w:rPr>
          <w:sz w:val="24"/>
        </w:rPr>
        <w:t>valor</w:t>
      </w:r>
      <w:r>
        <w:rPr>
          <w:spacing w:val="-6"/>
          <w:sz w:val="24"/>
        </w:rPr>
        <w:t> </w:t>
      </w:r>
      <w:r>
        <w:rPr>
          <w:sz w:val="24"/>
        </w:rPr>
        <w:t>justo</w:t>
      </w:r>
      <w:r>
        <w:rPr>
          <w:spacing w:val="-2"/>
          <w:sz w:val="24"/>
        </w:rPr>
        <w:t> </w:t>
      </w:r>
      <w:r>
        <w:rPr>
          <w:sz w:val="24"/>
        </w:rPr>
        <w:t>da</w:t>
      </w:r>
      <w:r>
        <w:rPr>
          <w:spacing w:val="-3"/>
          <w:sz w:val="24"/>
        </w:rPr>
        <w:t> </w:t>
      </w:r>
      <w:r>
        <w:rPr>
          <w:sz w:val="24"/>
        </w:rPr>
        <w:t>contraprestação</w:t>
      </w:r>
      <w:r>
        <w:rPr>
          <w:spacing w:val="-3"/>
          <w:sz w:val="24"/>
        </w:rPr>
        <w:t> </w:t>
      </w:r>
      <w:r>
        <w:rPr>
          <w:sz w:val="24"/>
        </w:rPr>
        <w:t>a</w:t>
      </w:r>
      <w:r>
        <w:rPr>
          <w:spacing w:val="-5"/>
          <w:sz w:val="24"/>
        </w:rPr>
        <w:t> </w:t>
      </w:r>
      <w:r>
        <w:rPr>
          <w:sz w:val="24"/>
        </w:rPr>
        <w:t>ser</w:t>
      </w:r>
      <w:r>
        <w:rPr>
          <w:spacing w:val="-4"/>
          <w:sz w:val="24"/>
        </w:rPr>
        <w:t> </w:t>
      </w:r>
      <w:r>
        <w:rPr>
          <w:sz w:val="24"/>
        </w:rPr>
        <w:t>recebida</w:t>
      </w:r>
      <w:r>
        <w:rPr>
          <w:spacing w:val="-6"/>
          <w:sz w:val="24"/>
        </w:rPr>
        <w:t> </w:t>
      </w:r>
      <w:r>
        <w:rPr>
          <w:sz w:val="24"/>
        </w:rPr>
        <w:t>e,</w:t>
      </w:r>
      <w:r>
        <w:rPr>
          <w:spacing w:val="-4"/>
          <w:sz w:val="24"/>
        </w:rPr>
        <w:t> </w:t>
      </w:r>
      <w:r>
        <w:rPr>
          <w:sz w:val="24"/>
        </w:rPr>
        <w:t>subsequentemente, mensurados pelo custo amortizado, com exceção dos recebíveis do FIDC.</w:t>
      </w:r>
    </w:p>
    <w:p>
      <w:pPr>
        <w:spacing w:before="240"/>
        <w:ind w:left="152" w:right="356" w:firstLine="0"/>
        <w:jc w:val="both"/>
        <w:rPr>
          <w:sz w:val="24"/>
        </w:rPr>
      </w:pPr>
      <w:r>
        <w:rPr>
          <w:sz w:val="24"/>
        </w:rPr>
        <w:t>A Companhia reconhece provisão para perdas de crédito esperadas (PCE) para contas a receber de clientes</w:t>
      </w:r>
      <w:r>
        <w:rPr>
          <w:spacing w:val="-7"/>
          <w:sz w:val="24"/>
        </w:rPr>
        <w:t> </w:t>
      </w:r>
      <w:r>
        <w:rPr>
          <w:sz w:val="24"/>
        </w:rPr>
        <w:t>de</w:t>
      </w:r>
      <w:r>
        <w:rPr>
          <w:spacing w:val="-2"/>
          <w:sz w:val="24"/>
        </w:rPr>
        <w:t> </w:t>
      </w:r>
      <w:r>
        <w:rPr>
          <w:sz w:val="24"/>
        </w:rPr>
        <w:t>curto</w:t>
      </w:r>
      <w:r>
        <w:rPr>
          <w:spacing w:val="-7"/>
          <w:sz w:val="24"/>
        </w:rPr>
        <w:t> </w:t>
      </w:r>
      <w:r>
        <w:rPr>
          <w:sz w:val="24"/>
        </w:rPr>
        <w:t>prazo</w:t>
      </w:r>
      <w:r>
        <w:rPr>
          <w:spacing w:val="-5"/>
          <w:sz w:val="24"/>
        </w:rPr>
        <w:t> </w:t>
      </w:r>
      <w:r>
        <w:rPr>
          <w:sz w:val="24"/>
        </w:rPr>
        <w:t>por</w:t>
      </w:r>
      <w:r>
        <w:rPr>
          <w:spacing w:val="-2"/>
          <w:sz w:val="24"/>
        </w:rPr>
        <w:t> </w:t>
      </w:r>
      <w:r>
        <w:rPr>
          <w:sz w:val="24"/>
        </w:rPr>
        <w:t>meio</w:t>
      </w:r>
      <w:r>
        <w:rPr>
          <w:spacing w:val="-3"/>
          <w:sz w:val="24"/>
        </w:rPr>
        <w:t> </w:t>
      </w:r>
      <w:r>
        <w:rPr>
          <w:sz w:val="24"/>
        </w:rPr>
        <w:t>da</w:t>
      </w:r>
      <w:r>
        <w:rPr>
          <w:spacing w:val="-6"/>
          <w:sz w:val="24"/>
        </w:rPr>
        <w:t> </w:t>
      </w:r>
      <w:r>
        <w:rPr>
          <w:sz w:val="24"/>
        </w:rPr>
        <w:t>utilização</w:t>
      </w:r>
      <w:r>
        <w:rPr>
          <w:spacing w:val="-3"/>
          <w:sz w:val="24"/>
        </w:rPr>
        <w:t> </w:t>
      </w:r>
      <w:r>
        <w:rPr>
          <w:sz w:val="24"/>
        </w:rPr>
        <w:t>de</w:t>
      </w:r>
      <w:r>
        <w:rPr>
          <w:spacing w:val="-8"/>
          <w:sz w:val="24"/>
        </w:rPr>
        <w:t> </w:t>
      </w:r>
      <w:r>
        <w:rPr>
          <w:sz w:val="24"/>
        </w:rPr>
        <w:t>matriz</w:t>
      </w:r>
      <w:r>
        <w:rPr>
          <w:spacing w:val="-6"/>
          <w:sz w:val="24"/>
        </w:rPr>
        <w:t> </w:t>
      </w:r>
      <w:r>
        <w:rPr>
          <w:sz w:val="24"/>
        </w:rPr>
        <w:t>de</w:t>
      </w:r>
      <w:r>
        <w:rPr>
          <w:spacing w:val="-6"/>
          <w:sz w:val="24"/>
        </w:rPr>
        <w:t> </w:t>
      </w:r>
      <w:r>
        <w:rPr>
          <w:sz w:val="24"/>
        </w:rPr>
        <w:t>provisões</w:t>
      </w:r>
      <w:r>
        <w:rPr>
          <w:spacing w:val="-5"/>
          <w:sz w:val="24"/>
        </w:rPr>
        <w:t> </w:t>
      </w:r>
      <w:r>
        <w:rPr>
          <w:sz w:val="24"/>
        </w:rPr>
        <w:t>baseada</w:t>
      </w:r>
      <w:r>
        <w:rPr>
          <w:spacing w:val="-5"/>
          <w:sz w:val="24"/>
        </w:rPr>
        <w:t> </w:t>
      </w:r>
      <w:r>
        <w:rPr>
          <w:sz w:val="24"/>
        </w:rPr>
        <w:t>na</w:t>
      </w:r>
      <w:r>
        <w:rPr>
          <w:spacing w:val="-6"/>
          <w:sz w:val="24"/>
        </w:rPr>
        <w:t> </w:t>
      </w:r>
      <w:r>
        <w:rPr>
          <w:sz w:val="24"/>
        </w:rPr>
        <w:t>experiência</w:t>
      </w:r>
      <w:r>
        <w:rPr>
          <w:spacing w:val="-5"/>
          <w:sz w:val="24"/>
        </w:rPr>
        <w:t> </w:t>
      </w:r>
      <w:r>
        <w:rPr>
          <w:sz w:val="24"/>
        </w:rPr>
        <w:t>de</w:t>
      </w:r>
      <w:r>
        <w:rPr>
          <w:spacing w:val="-6"/>
          <w:sz w:val="24"/>
        </w:rPr>
        <w:t> </w:t>
      </w:r>
      <w:r>
        <w:rPr>
          <w:sz w:val="24"/>
        </w:rPr>
        <w:t>perda</w:t>
      </w:r>
      <w:r>
        <w:rPr>
          <w:spacing w:val="-5"/>
          <w:sz w:val="24"/>
        </w:rPr>
        <w:t> </w:t>
      </w:r>
      <w:r>
        <w:rPr>
          <w:sz w:val="24"/>
        </w:rPr>
        <w:t>de crédito histórica não ajustada, quando tal informação representa a melhor informação razoável e sustentável, ou, ajustada, com base em dados observáveis atuais para refletir os efeitos das condições atuais e futuras desde que tais dados estejam disponíveis sem custo ou esforços</w:t>
      </w:r>
      <w:r>
        <w:rPr>
          <w:spacing w:val="-16"/>
          <w:sz w:val="24"/>
        </w:rPr>
        <w:t> </w:t>
      </w:r>
      <w:r>
        <w:rPr>
          <w:sz w:val="24"/>
        </w:rPr>
        <w:t>excessivos.</w:t>
      </w:r>
    </w:p>
    <w:p>
      <w:pPr>
        <w:spacing w:after="0"/>
        <w:jc w:val="both"/>
        <w:rPr>
          <w:sz w:val="24"/>
        </w:rPr>
        <w:sectPr>
          <w:type w:val="continuous"/>
          <w:pgSz w:w="11910" w:h="16840"/>
          <w:pgMar w:header="637" w:footer="630" w:top="1940" w:bottom="280" w:left="700" w:right="480"/>
        </w:sectPr>
      </w:pPr>
    </w:p>
    <w:p>
      <w:pPr>
        <w:spacing w:before="286"/>
        <w:ind w:left="151" w:right="359" w:firstLine="0"/>
        <w:jc w:val="both"/>
        <w:rPr>
          <w:sz w:val="24"/>
        </w:rPr>
      </w:pPr>
      <w:r>
        <w:rPr>
          <w:sz w:val="24"/>
        </w:rPr>
        <w:t>PCE é a média ponderada de perdas</w:t>
      </w:r>
      <w:r>
        <w:rPr>
          <w:spacing w:val="-2"/>
          <w:sz w:val="24"/>
        </w:rPr>
        <w:t> </w:t>
      </w:r>
      <w:r>
        <w:rPr>
          <w:sz w:val="24"/>
        </w:rPr>
        <w:t>de crédito histórica</w:t>
      </w:r>
      <w:r>
        <w:rPr>
          <w:spacing w:val="-1"/>
          <w:sz w:val="24"/>
        </w:rPr>
        <w:t> </w:t>
      </w:r>
      <w:r>
        <w:rPr>
          <w:sz w:val="24"/>
        </w:rPr>
        <w:t>com</w:t>
      </w:r>
      <w:r>
        <w:rPr>
          <w:spacing w:val="-1"/>
          <w:sz w:val="24"/>
        </w:rPr>
        <w:t> </w:t>
      </w:r>
      <w:r>
        <w:rPr>
          <w:sz w:val="24"/>
        </w:rPr>
        <w:t>os</w:t>
      </w:r>
      <w:r>
        <w:rPr>
          <w:spacing w:val="-1"/>
          <w:sz w:val="24"/>
        </w:rPr>
        <w:t> </w:t>
      </w:r>
      <w:r>
        <w:rPr>
          <w:sz w:val="24"/>
        </w:rPr>
        <w:t>respectivos riscos</w:t>
      </w:r>
      <w:r>
        <w:rPr>
          <w:spacing w:val="-1"/>
          <w:sz w:val="24"/>
        </w:rPr>
        <w:t> </w:t>
      </w:r>
      <w:r>
        <w:rPr>
          <w:sz w:val="24"/>
        </w:rPr>
        <w:t>de</w:t>
      </w:r>
      <w:r>
        <w:rPr>
          <w:spacing w:val="-1"/>
          <w:sz w:val="24"/>
        </w:rPr>
        <w:t> </w:t>
      </w:r>
      <w:r>
        <w:rPr>
          <w:sz w:val="24"/>
        </w:rPr>
        <w:t>inadimplência,</w:t>
      </w:r>
      <w:r>
        <w:rPr>
          <w:spacing w:val="-2"/>
          <w:sz w:val="24"/>
        </w:rPr>
        <w:t> </w:t>
      </w:r>
      <w:r>
        <w:rPr>
          <w:sz w:val="24"/>
        </w:rPr>
        <w:t>que possam ocorrer conforme as ponderações. A perda de crédito sobre um ativo financeiro é mensurada pela diferença entre todos os fluxos de caixa contratuais devidos à Companhia e todos os fluxos de caixa que a Companhia espera receber, descontados à taxa efetiva original.</w:t>
      </w:r>
    </w:p>
    <w:p>
      <w:pPr>
        <w:spacing w:before="239"/>
        <w:ind w:left="152" w:right="354" w:firstLine="0"/>
        <w:jc w:val="both"/>
        <w:rPr>
          <w:sz w:val="24"/>
        </w:rPr>
      </w:pPr>
      <w:r>
        <w:rPr>
          <w:sz w:val="24"/>
        </w:rPr>
        <w:t>Em geral, para os demais recebíveis, a Companhia reconhece provisão por valor equivalente à PCE para 12 meses, entretanto, quando o risco de crédito do instrumento financeiro aumentar significativamente desde o seu reconhecimento inicial, a provisão é reconhecida por valor equivalente à PCE (vida toda).</w:t>
      </w:r>
    </w:p>
    <w:p>
      <w:pPr>
        <w:spacing w:before="240"/>
        <w:ind w:left="151" w:right="359" w:firstLine="0"/>
        <w:jc w:val="both"/>
        <w:rPr>
          <w:sz w:val="24"/>
        </w:rPr>
      </w:pPr>
      <w:r>
        <w:rPr>
          <w:sz w:val="24"/>
        </w:rPr>
        <w:t>Ao avaliar o aumento significativo do risco de crédito, a Companhia compara o risco de inadimplência (default) que ocorre no instrumento financeiro na data do balanço com o risco de inadimplência que ocorre no instrumento financeiro na data de seu reconhecimento inicial.</w:t>
      </w:r>
    </w:p>
    <w:p>
      <w:pPr>
        <w:spacing w:before="240"/>
        <w:ind w:left="152" w:right="356" w:firstLine="0"/>
        <w:jc w:val="both"/>
        <w:rPr>
          <w:sz w:val="24"/>
        </w:rPr>
      </w:pPr>
      <w:r>
        <w:rPr>
          <w:sz w:val="24"/>
        </w:rPr>
        <w:t>Independentemente</w:t>
      </w:r>
      <w:r>
        <w:rPr>
          <w:spacing w:val="-11"/>
          <w:sz w:val="24"/>
        </w:rPr>
        <w:t> </w:t>
      </w:r>
      <w:r>
        <w:rPr>
          <w:sz w:val="24"/>
        </w:rPr>
        <w:t>da</w:t>
      </w:r>
      <w:r>
        <w:rPr>
          <w:spacing w:val="-14"/>
          <w:sz w:val="24"/>
        </w:rPr>
        <w:t> </w:t>
      </w:r>
      <w:r>
        <w:rPr>
          <w:sz w:val="24"/>
        </w:rPr>
        <w:t>avaliação</w:t>
      </w:r>
      <w:r>
        <w:rPr>
          <w:spacing w:val="-9"/>
          <w:sz w:val="24"/>
        </w:rPr>
        <w:t> </w:t>
      </w:r>
      <w:r>
        <w:rPr>
          <w:sz w:val="24"/>
        </w:rPr>
        <w:t>do</w:t>
      </w:r>
      <w:r>
        <w:rPr>
          <w:spacing w:val="-14"/>
          <w:sz w:val="24"/>
        </w:rPr>
        <w:t> </w:t>
      </w:r>
      <w:r>
        <w:rPr>
          <w:sz w:val="24"/>
        </w:rPr>
        <w:t>aumento</w:t>
      </w:r>
      <w:r>
        <w:rPr>
          <w:spacing w:val="-10"/>
          <w:sz w:val="24"/>
        </w:rPr>
        <w:t> </w:t>
      </w:r>
      <w:r>
        <w:rPr>
          <w:sz w:val="24"/>
        </w:rPr>
        <w:t>significativo</w:t>
      </w:r>
      <w:r>
        <w:rPr>
          <w:spacing w:val="-12"/>
          <w:sz w:val="24"/>
        </w:rPr>
        <w:t> </w:t>
      </w:r>
      <w:r>
        <w:rPr>
          <w:sz w:val="24"/>
        </w:rPr>
        <w:t>no</w:t>
      </w:r>
      <w:r>
        <w:rPr>
          <w:spacing w:val="-11"/>
          <w:sz w:val="24"/>
        </w:rPr>
        <w:t> </w:t>
      </w:r>
      <w:r>
        <w:rPr>
          <w:sz w:val="24"/>
        </w:rPr>
        <w:t>risco</w:t>
      </w:r>
      <w:r>
        <w:rPr>
          <w:spacing w:val="-12"/>
          <w:sz w:val="24"/>
        </w:rPr>
        <w:t> </w:t>
      </w:r>
      <w:r>
        <w:rPr>
          <w:sz w:val="24"/>
        </w:rPr>
        <w:t>de</w:t>
      </w:r>
      <w:r>
        <w:rPr>
          <w:spacing w:val="-14"/>
          <w:sz w:val="24"/>
        </w:rPr>
        <w:t> </w:t>
      </w:r>
      <w:r>
        <w:rPr>
          <w:sz w:val="24"/>
        </w:rPr>
        <w:t>crédito,</w:t>
      </w:r>
      <w:r>
        <w:rPr>
          <w:spacing w:val="-13"/>
          <w:sz w:val="24"/>
        </w:rPr>
        <w:t> </w:t>
      </w:r>
      <w:r>
        <w:rPr>
          <w:sz w:val="24"/>
        </w:rPr>
        <w:t>a</w:t>
      </w:r>
      <w:r>
        <w:rPr>
          <w:spacing w:val="-10"/>
          <w:sz w:val="24"/>
        </w:rPr>
        <w:t> </w:t>
      </w:r>
      <w:r>
        <w:rPr>
          <w:sz w:val="24"/>
        </w:rPr>
        <w:t>Companhia</w:t>
      </w:r>
      <w:r>
        <w:rPr>
          <w:spacing w:val="-13"/>
          <w:sz w:val="24"/>
        </w:rPr>
        <w:t> </w:t>
      </w:r>
      <w:r>
        <w:rPr>
          <w:sz w:val="24"/>
        </w:rPr>
        <w:t>presume</w:t>
      </w:r>
      <w:r>
        <w:rPr>
          <w:spacing w:val="-10"/>
          <w:sz w:val="24"/>
        </w:rPr>
        <w:t> </w:t>
      </w:r>
      <w:r>
        <w:rPr>
          <w:sz w:val="24"/>
        </w:rPr>
        <w:t>que o</w:t>
      </w:r>
      <w:r>
        <w:rPr>
          <w:spacing w:val="-12"/>
          <w:sz w:val="24"/>
        </w:rPr>
        <w:t> </w:t>
      </w:r>
      <w:r>
        <w:rPr>
          <w:sz w:val="24"/>
        </w:rPr>
        <w:t>risco</w:t>
      </w:r>
      <w:r>
        <w:rPr>
          <w:spacing w:val="-10"/>
          <w:sz w:val="24"/>
        </w:rPr>
        <w:t> </w:t>
      </w:r>
      <w:r>
        <w:rPr>
          <w:sz w:val="24"/>
        </w:rPr>
        <w:t>de</w:t>
      </w:r>
      <w:r>
        <w:rPr>
          <w:spacing w:val="-10"/>
          <w:sz w:val="24"/>
        </w:rPr>
        <w:t> </w:t>
      </w:r>
      <w:r>
        <w:rPr>
          <w:sz w:val="24"/>
        </w:rPr>
        <w:t>crédito</w:t>
      </w:r>
      <w:r>
        <w:rPr>
          <w:spacing w:val="-10"/>
          <w:sz w:val="24"/>
        </w:rPr>
        <w:t> </w:t>
      </w:r>
      <w:r>
        <w:rPr>
          <w:sz w:val="24"/>
        </w:rPr>
        <w:t>de</w:t>
      </w:r>
      <w:r>
        <w:rPr>
          <w:spacing w:val="-13"/>
          <w:sz w:val="24"/>
        </w:rPr>
        <w:t> </w:t>
      </w:r>
      <w:r>
        <w:rPr>
          <w:sz w:val="24"/>
        </w:rPr>
        <w:t>um</w:t>
      </w:r>
      <w:r>
        <w:rPr>
          <w:spacing w:val="-13"/>
          <w:sz w:val="24"/>
        </w:rPr>
        <w:t> </w:t>
      </w:r>
      <w:r>
        <w:rPr>
          <w:sz w:val="24"/>
        </w:rPr>
        <w:t>ativo</w:t>
      </w:r>
      <w:r>
        <w:rPr>
          <w:spacing w:val="-10"/>
          <w:sz w:val="24"/>
        </w:rPr>
        <w:t> </w:t>
      </w:r>
      <w:r>
        <w:rPr>
          <w:sz w:val="24"/>
        </w:rPr>
        <w:t>financeiro</w:t>
      </w:r>
      <w:r>
        <w:rPr>
          <w:spacing w:val="-11"/>
          <w:sz w:val="24"/>
        </w:rPr>
        <w:t> </w:t>
      </w:r>
      <w:r>
        <w:rPr>
          <w:sz w:val="24"/>
        </w:rPr>
        <w:t>aumentou</w:t>
      </w:r>
      <w:r>
        <w:rPr>
          <w:spacing w:val="-11"/>
          <w:sz w:val="24"/>
        </w:rPr>
        <w:t> </w:t>
      </w:r>
      <w:r>
        <w:rPr>
          <w:sz w:val="24"/>
        </w:rPr>
        <w:t>significativamente</w:t>
      </w:r>
      <w:r>
        <w:rPr>
          <w:spacing w:val="-13"/>
          <w:sz w:val="24"/>
        </w:rPr>
        <w:t> </w:t>
      </w:r>
      <w:r>
        <w:rPr>
          <w:sz w:val="24"/>
        </w:rPr>
        <w:t>desde</w:t>
      </w:r>
      <w:r>
        <w:rPr>
          <w:spacing w:val="-10"/>
          <w:sz w:val="24"/>
        </w:rPr>
        <w:t> </w:t>
      </w:r>
      <w:r>
        <w:rPr>
          <w:sz w:val="24"/>
        </w:rPr>
        <w:t>o</w:t>
      </w:r>
      <w:r>
        <w:rPr>
          <w:spacing w:val="-10"/>
          <w:sz w:val="24"/>
        </w:rPr>
        <w:t> </w:t>
      </w:r>
      <w:r>
        <w:rPr>
          <w:sz w:val="24"/>
        </w:rPr>
        <w:t>seu</w:t>
      </w:r>
      <w:r>
        <w:rPr>
          <w:spacing w:val="-10"/>
          <w:sz w:val="24"/>
        </w:rPr>
        <w:t> </w:t>
      </w:r>
      <w:r>
        <w:rPr>
          <w:sz w:val="24"/>
        </w:rPr>
        <w:t>reconhecimento</w:t>
      </w:r>
      <w:r>
        <w:rPr>
          <w:spacing w:val="-13"/>
          <w:sz w:val="24"/>
        </w:rPr>
        <w:t> </w:t>
      </w:r>
      <w:r>
        <w:rPr>
          <w:sz w:val="24"/>
        </w:rPr>
        <w:t>inicial quando os pagamentos contratuais estiverem vencidos há mais de 30 dias, exceto quando informações razoáveis e sustentáveis disponíveis demonstrarem o contrário.</w:t>
      </w:r>
    </w:p>
    <w:p>
      <w:pPr>
        <w:spacing w:before="242"/>
        <w:ind w:left="151" w:right="354" w:firstLine="0"/>
        <w:jc w:val="both"/>
        <w:rPr>
          <w:sz w:val="24"/>
        </w:rPr>
      </w:pPr>
      <w:r>
        <w:rPr>
          <w:sz w:val="24"/>
        </w:rPr>
        <w:t>A</w:t>
      </w:r>
      <w:r>
        <w:rPr>
          <w:spacing w:val="-1"/>
          <w:sz w:val="24"/>
        </w:rPr>
        <w:t> </w:t>
      </w:r>
      <w:r>
        <w:rPr>
          <w:sz w:val="24"/>
        </w:rPr>
        <w:t>Companhia</w:t>
      </w:r>
      <w:r>
        <w:rPr>
          <w:spacing w:val="-1"/>
          <w:sz w:val="24"/>
        </w:rPr>
        <w:t> </w:t>
      </w:r>
      <w:r>
        <w:rPr>
          <w:sz w:val="24"/>
        </w:rPr>
        <w:t>assume</w:t>
      </w:r>
      <w:r>
        <w:rPr>
          <w:spacing w:val="-2"/>
          <w:sz w:val="24"/>
        </w:rPr>
        <w:t> </w:t>
      </w:r>
      <w:r>
        <w:rPr>
          <w:sz w:val="24"/>
        </w:rPr>
        <w:t>que</w:t>
      </w:r>
      <w:r>
        <w:rPr>
          <w:spacing w:val="-1"/>
          <w:sz w:val="24"/>
        </w:rPr>
        <w:t> </w:t>
      </w:r>
      <w:r>
        <w:rPr>
          <w:sz w:val="24"/>
        </w:rPr>
        <w:t>o</w:t>
      </w:r>
      <w:r>
        <w:rPr>
          <w:spacing w:val="-2"/>
          <w:sz w:val="24"/>
        </w:rPr>
        <w:t> </w:t>
      </w:r>
      <w:r>
        <w:rPr>
          <w:sz w:val="24"/>
        </w:rPr>
        <w:t>risco</w:t>
      </w:r>
      <w:r>
        <w:rPr>
          <w:spacing w:val="-1"/>
          <w:sz w:val="24"/>
        </w:rPr>
        <w:t> </w:t>
      </w:r>
      <w:r>
        <w:rPr>
          <w:sz w:val="24"/>
        </w:rPr>
        <w:t>de</w:t>
      </w:r>
      <w:r>
        <w:rPr>
          <w:spacing w:val="-2"/>
          <w:sz w:val="24"/>
        </w:rPr>
        <w:t> </w:t>
      </w:r>
      <w:r>
        <w:rPr>
          <w:sz w:val="24"/>
        </w:rPr>
        <w:t>crédito</w:t>
      </w:r>
      <w:r>
        <w:rPr>
          <w:spacing w:val="-1"/>
          <w:sz w:val="24"/>
        </w:rPr>
        <w:t> </w:t>
      </w:r>
      <w:r>
        <w:rPr>
          <w:sz w:val="24"/>
        </w:rPr>
        <w:t>de</w:t>
      </w:r>
      <w:r>
        <w:rPr>
          <w:spacing w:val="-2"/>
          <w:sz w:val="24"/>
        </w:rPr>
        <w:t> </w:t>
      </w:r>
      <w:r>
        <w:rPr>
          <w:sz w:val="24"/>
        </w:rPr>
        <w:t>contas</w:t>
      </w:r>
      <w:r>
        <w:rPr>
          <w:spacing w:val="-1"/>
          <w:sz w:val="24"/>
        </w:rPr>
        <w:t> </w:t>
      </w:r>
      <w:r>
        <w:rPr>
          <w:sz w:val="24"/>
        </w:rPr>
        <w:t>a</w:t>
      </w:r>
      <w:r>
        <w:rPr>
          <w:spacing w:val="-1"/>
          <w:sz w:val="24"/>
        </w:rPr>
        <w:t> </w:t>
      </w:r>
      <w:r>
        <w:rPr>
          <w:sz w:val="24"/>
        </w:rPr>
        <w:t>receber</w:t>
      </w:r>
      <w:r>
        <w:rPr>
          <w:spacing w:val="-2"/>
          <w:sz w:val="24"/>
        </w:rPr>
        <w:t> </w:t>
      </w:r>
      <w:r>
        <w:rPr>
          <w:sz w:val="24"/>
        </w:rPr>
        <w:t>não</w:t>
      </w:r>
      <w:r>
        <w:rPr>
          <w:spacing w:val="-1"/>
          <w:sz w:val="24"/>
        </w:rPr>
        <w:t> </w:t>
      </w:r>
      <w:r>
        <w:rPr>
          <w:sz w:val="24"/>
        </w:rPr>
        <w:t>aumentou</w:t>
      </w:r>
      <w:r>
        <w:rPr>
          <w:spacing w:val="-1"/>
          <w:sz w:val="24"/>
        </w:rPr>
        <w:t> </w:t>
      </w:r>
      <w:r>
        <w:rPr>
          <w:sz w:val="24"/>
        </w:rPr>
        <w:t>significativamente</w:t>
      </w:r>
      <w:r>
        <w:rPr>
          <w:spacing w:val="-2"/>
          <w:sz w:val="24"/>
        </w:rPr>
        <w:t> </w:t>
      </w:r>
      <w:r>
        <w:rPr>
          <w:sz w:val="24"/>
        </w:rPr>
        <w:t>desde o seu reconhecimento inicial quando o mesmo possui baixo risco de crédito na data do balanço. Baixo risco</w:t>
      </w:r>
      <w:r>
        <w:rPr>
          <w:spacing w:val="-2"/>
          <w:sz w:val="24"/>
        </w:rPr>
        <w:t> </w:t>
      </w:r>
      <w:r>
        <w:rPr>
          <w:sz w:val="24"/>
        </w:rPr>
        <w:t>de</w:t>
      </w:r>
      <w:r>
        <w:rPr>
          <w:spacing w:val="-2"/>
          <w:sz w:val="24"/>
        </w:rPr>
        <w:t> </w:t>
      </w:r>
      <w:r>
        <w:rPr>
          <w:sz w:val="24"/>
        </w:rPr>
        <w:t>crédito</w:t>
      </w:r>
      <w:r>
        <w:rPr>
          <w:spacing w:val="-2"/>
          <w:sz w:val="24"/>
        </w:rPr>
        <w:t> </w:t>
      </w:r>
      <w:r>
        <w:rPr>
          <w:sz w:val="24"/>
        </w:rPr>
        <w:t>é</w:t>
      </w:r>
      <w:r>
        <w:rPr>
          <w:spacing w:val="-2"/>
          <w:sz w:val="24"/>
        </w:rPr>
        <w:t> </w:t>
      </w:r>
      <w:r>
        <w:rPr>
          <w:sz w:val="24"/>
        </w:rPr>
        <w:t>determinado</w:t>
      </w:r>
      <w:r>
        <w:rPr>
          <w:spacing w:val="-2"/>
          <w:sz w:val="24"/>
        </w:rPr>
        <w:t> </w:t>
      </w:r>
      <w:r>
        <w:rPr>
          <w:sz w:val="24"/>
        </w:rPr>
        <w:t>com</w:t>
      </w:r>
      <w:r>
        <w:rPr>
          <w:spacing w:val="-5"/>
          <w:sz w:val="24"/>
        </w:rPr>
        <w:t> </w:t>
      </w:r>
      <w:r>
        <w:rPr>
          <w:sz w:val="24"/>
        </w:rPr>
        <w:t>base</w:t>
      </w:r>
      <w:r>
        <w:rPr>
          <w:spacing w:val="-3"/>
          <w:sz w:val="24"/>
        </w:rPr>
        <w:t> </w:t>
      </w:r>
      <w:r>
        <w:rPr>
          <w:sz w:val="24"/>
        </w:rPr>
        <w:t>em</w:t>
      </w:r>
      <w:r>
        <w:rPr>
          <w:spacing w:val="-3"/>
          <w:sz w:val="24"/>
        </w:rPr>
        <w:t> </w:t>
      </w:r>
      <w:r>
        <w:rPr>
          <w:sz w:val="24"/>
        </w:rPr>
        <w:t>classificações</w:t>
      </w:r>
      <w:r>
        <w:rPr>
          <w:spacing w:val="-3"/>
          <w:sz w:val="24"/>
        </w:rPr>
        <w:t> </w:t>
      </w:r>
      <w:r>
        <w:rPr>
          <w:sz w:val="24"/>
        </w:rPr>
        <w:t>externas</w:t>
      </w:r>
      <w:r>
        <w:rPr>
          <w:spacing w:val="-3"/>
          <w:sz w:val="24"/>
        </w:rPr>
        <w:t> </w:t>
      </w:r>
      <w:r>
        <w:rPr>
          <w:sz w:val="24"/>
        </w:rPr>
        <w:t>de</w:t>
      </w:r>
      <w:r>
        <w:rPr>
          <w:spacing w:val="-2"/>
          <w:sz w:val="24"/>
        </w:rPr>
        <w:t> </w:t>
      </w:r>
      <w:r>
        <w:rPr>
          <w:sz w:val="24"/>
        </w:rPr>
        <w:t>riscos</w:t>
      </w:r>
      <w:r>
        <w:rPr>
          <w:spacing w:val="-3"/>
          <w:sz w:val="24"/>
        </w:rPr>
        <w:t> </w:t>
      </w:r>
      <w:r>
        <w:rPr>
          <w:sz w:val="24"/>
        </w:rPr>
        <w:t>e</w:t>
      </w:r>
      <w:r>
        <w:rPr>
          <w:spacing w:val="-1"/>
          <w:sz w:val="24"/>
        </w:rPr>
        <w:t> </w:t>
      </w:r>
      <w:r>
        <w:rPr>
          <w:sz w:val="24"/>
        </w:rPr>
        <w:t>metodologias</w:t>
      </w:r>
      <w:r>
        <w:rPr>
          <w:spacing w:val="-3"/>
          <w:sz w:val="24"/>
        </w:rPr>
        <w:t> </w:t>
      </w:r>
      <w:r>
        <w:rPr>
          <w:sz w:val="24"/>
        </w:rPr>
        <w:t>internas</w:t>
      </w:r>
      <w:r>
        <w:rPr>
          <w:spacing w:val="-3"/>
          <w:sz w:val="24"/>
        </w:rPr>
        <w:t> </w:t>
      </w:r>
      <w:r>
        <w:rPr>
          <w:sz w:val="24"/>
        </w:rPr>
        <w:t>de </w:t>
      </w:r>
      <w:r>
        <w:rPr>
          <w:spacing w:val="-2"/>
          <w:sz w:val="24"/>
        </w:rPr>
        <w:t>avaliação.</w:t>
      </w:r>
    </w:p>
    <w:p>
      <w:pPr>
        <w:spacing w:before="240"/>
        <w:ind w:left="152" w:right="355" w:firstLine="0"/>
        <w:jc w:val="both"/>
        <w:rPr>
          <w:sz w:val="24"/>
        </w:rPr>
      </w:pPr>
      <w:r>
        <w:rPr>
          <w:sz w:val="24"/>
        </w:rPr>
        <w:t>Inexistindo</w:t>
      </w:r>
      <w:r>
        <w:rPr>
          <w:spacing w:val="-10"/>
          <w:sz w:val="24"/>
        </w:rPr>
        <w:t> </w:t>
      </w:r>
      <w:r>
        <w:rPr>
          <w:sz w:val="24"/>
        </w:rPr>
        <w:t>controvérsia</w:t>
      </w:r>
      <w:r>
        <w:rPr>
          <w:spacing w:val="-14"/>
          <w:sz w:val="24"/>
        </w:rPr>
        <w:t> </w:t>
      </w:r>
      <w:r>
        <w:rPr>
          <w:sz w:val="24"/>
        </w:rPr>
        <w:t>ou</w:t>
      </w:r>
      <w:r>
        <w:rPr>
          <w:spacing w:val="-11"/>
          <w:sz w:val="24"/>
        </w:rPr>
        <w:t> </w:t>
      </w:r>
      <w:r>
        <w:rPr>
          <w:sz w:val="24"/>
        </w:rPr>
        <w:t>outras</w:t>
      </w:r>
      <w:r>
        <w:rPr>
          <w:spacing w:val="-13"/>
          <w:sz w:val="24"/>
        </w:rPr>
        <w:t> </w:t>
      </w:r>
      <w:r>
        <w:rPr>
          <w:sz w:val="24"/>
        </w:rPr>
        <w:t>questões</w:t>
      </w:r>
      <w:r>
        <w:rPr>
          <w:spacing w:val="-14"/>
          <w:sz w:val="24"/>
        </w:rPr>
        <w:t> </w:t>
      </w:r>
      <w:r>
        <w:rPr>
          <w:sz w:val="24"/>
        </w:rPr>
        <w:t>que</w:t>
      </w:r>
      <w:r>
        <w:rPr>
          <w:spacing w:val="-11"/>
          <w:sz w:val="24"/>
        </w:rPr>
        <w:t> </w:t>
      </w:r>
      <w:r>
        <w:rPr>
          <w:sz w:val="24"/>
        </w:rPr>
        <w:t>podem</w:t>
      </w:r>
      <w:r>
        <w:rPr>
          <w:spacing w:val="-13"/>
          <w:sz w:val="24"/>
        </w:rPr>
        <w:t> </w:t>
      </w:r>
      <w:r>
        <w:rPr>
          <w:sz w:val="24"/>
        </w:rPr>
        <w:t>resultar</w:t>
      </w:r>
      <w:r>
        <w:rPr>
          <w:spacing w:val="-12"/>
          <w:sz w:val="24"/>
        </w:rPr>
        <w:t> </w:t>
      </w:r>
      <w:r>
        <w:rPr>
          <w:sz w:val="24"/>
        </w:rPr>
        <w:t>em</w:t>
      </w:r>
      <w:r>
        <w:rPr>
          <w:spacing w:val="-12"/>
          <w:sz w:val="24"/>
        </w:rPr>
        <w:t> </w:t>
      </w:r>
      <w:r>
        <w:rPr>
          <w:sz w:val="24"/>
        </w:rPr>
        <w:t>suspensão</w:t>
      </w:r>
      <w:r>
        <w:rPr>
          <w:spacing w:val="-9"/>
          <w:sz w:val="24"/>
        </w:rPr>
        <w:t> </w:t>
      </w:r>
      <w:r>
        <w:rPr>
          <w:sz w:val="24"/>
        </w:rPr>
        <w:t>da</w:t>
      </w:r>
      <w:r>
        <w:rPr>
          <w:spacing w:val="-13"/>
          <w:sz w:val="24"/>
        </w:rPr>
        <w:t> </w:t>
      </w:r>
      <w:r>
        <w:rPr>
          <w:sz w:val="24"/>
        </w:rPr>
        <w:t>cobrança,</w:t>
      </w:r>
      <w:r>
        <w:rPr>
          <w:spacing w:val="-13"/>
          <w:sz w:val="24"/>
        </w:rPr>
        <w:t> </w:t>
      </w:r>
      <w:r>
        <w:rPr>
          <w:sz w:val="24"/>
        </w:rPr>
        <w:t>a</w:t>
      </w:r>
      <w:r>
        <w:rPr>
          <w:spacing w:val="-11"/>
          <w:sz w:val="24"/>
        </w:rPr>
        <w:t> </w:t>
      </w:r>
      <w:r>
        <w:rPr>
          <w:sz w:val="24"/>
        </w:rPr>
        <w:t>Companhia considera</w:t>
      </w:r>
      <w:r>
        <w:rPr>
          <w:spacing w:val="-2"/>
          <w:sz w:val="24"/>
        </w:rPr>
        <w:t> </w:t>
      </w:r>
      <w:r>
        <w:rPr>
          <w:sz w:val="24"/>
        </w:rPr>
        <w:t>inadimplência</w:t>
      </w:r>
      <w:r>
        <w:rPr>
          <w:spacing w:val="-2"/>
          <w:sz w:val="24"/>
        </w:rPr>
        <w:t> </w:t>
      </w:r>
      <w:r>
        <w:rPr>
          <w:sz w:val="24"/>
        </w:rPr>
        <w:t>quando a</w:t>
      </w:r>
      <w:r>
        <w:rPr>
          <w:spacing w:val="-1"/>
          <w:sz w:val="24"/>
        </w:rPr>
        <w:t> </w:t>
      </w:r>
      <w:r>
        <w:rPr>
          <w:sz w:val="24"/>
        </w:rPr>
        <w:t>contraparte</w:t>
      </w:r>
      <w:r>
        <w:rPr>
          <w:spacing w:val="-3"/>
          <w:sz w:val="24"/>
        </w:rPr>
        <w:t> </w:t>
      </w:r>
      <w:r>
        <w:rPr>
          <w:sz w:val="24"/>
        </w:rPr>
        <w:t>não</w:t>
      </w:r>
      <w:r>
        <w:rPr>
          <w:spacing w:val="-1"/>
          <w:sz w:val="24"/>
        </w:rPr>
        <w:t> </w:t>
      </w:r>
      <w:r>
        <w:rPr>
          <w:sz w:val="24"/>
        </w:rPr>
        <w:t>cumpre</w:t>
      </w:r>
      <w:r>
        <w:rPr>
          <w:spacing w:val="-2"/>
          <w:sz w:val="24"/>
        </w:rPr>
        <w:t> </w:t>
      </w:r>
      <w:r>
        <w:rPr>
          <w:sz w:val="24"/>
        </w:rPr>
        <w:t>com</w:t>
      </w:r>
      <w:r>
        <w:rPr>
          <w:spacing w:val="-1"/>
          <w:sz w:val="24"/>
        </w:rPr>
        <w:t> </w:t>
      </w:r>
      <w:r>
        <w:rPr>
          <w:sz w:val="24"/>
        </w:rPr>
        <w:t>a</w:t>
      </w:r>
      <w:r>
        <w:rPr>
          <w:spacing w:val="-3"/>
          <w:sz w:val="24"/>
        </w:rPr>
        <w:t> </w:t>
      </w:r>
      <w:r>
        <w:rPr>
          <w:sz w:val="24"/>
        </w:rPr>
        <w:t>obrigação</w:t>
      </w:r>
      <w:r>
        <w:rPr>
          <w:spacing w:val="-2"/>
          <w:sz w:val="24"/>
        </w:rPr>
        <w:t> </w:t>
      </w:r>
      <w:r>
        <w:rPr>
          <w:sz w:val="24"/>
        </w:rPr>
        <w:t>legal</w:t>
      </w:r>
      <w:r>
        <w:rPr>
          <w:spacing w:val="-1"/>
          <w:sz w:val="24"/>
        </w:rPr>
        <w:t> </w:t>
      </w:r>
      <w:r>
        <w:rPr>
          <w:sz w:val="24"/>
        </w:rPr>
        <w:t>de</w:t>
      </w:r>
      <w:r>
        <w:rPr>
          <w:spacing w:val="-1"/>
          <w:sz w:val="24"/>
        </w:rPr>
        <w:t> </w:t>
      </w:r>
      <w:r>
        <w:rPr>
          <w:sz w:val="24"/>
        </w:rPr>
        <w:t>pagamento de</w:t>
      </w:r>
      <w:r>
        <w:rPr>
          <w:spacing w:val="-1"/>
          <w:sz w:val="24"/>
        </w:rPr>
        <w:t> </w:t>
      </w:r>
      <w:r>
        <w:rPr>
          <w:sz w:val="24"/>
        </w:rPr>
        <w:t>seus débitos quando devidos ou, a depender do instrumento, quando ocorre atraso de recebimento devido contratualmente em prazo igual ou superior a 90 (noventa) dias.</w:t>
      </w:r>
    </w:p>
    <w:p>
      <w:pPr>
        <w:pStyle w:val="BodyText"/>
        <w:spacing w:before="44"/>
        <w:rPr>
          <w:sz w:val="20"/>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3"/>
        <w:gridCol w:w="1728"/>
        <w:gridCol w:w="1028"/>
      </w:tblGrid>
      <w:tr>
        <w:trPr>
          <w:trHeight w:val="411" w:hRule="atLeast"/>
        </w:trPr>
        <w:tc>
          <w:tcPr>
            <w:tcW w:w="7543" w:type="dxa"/>
          </w:tcPr>
          <w:p>
            <w:pPr>
              <w:pStyle w:val="TableParagraph"/>
              <w:tabs>
                <w:tab w:pos="617" w:val="left" w:leader="none"/>
              </w:tabs>
              <w:spacing w:line="244" w:lineRule="exact"/>
              <w:ind w:left="50"/>
              <w:rPr>
                <w:b/>
                <w:sz w:val="24"/>
              </w:rPr>
            </w:pPr>
            <w:r>
              <w:rPr>
                <w:b/>
                <w:spacing w:val="-4"/>
                <w:sz w:val="24"/>
              </w:rPr>
              <w:t>6.2.</w:t>
            </w:r>
            <w:r>
              <w:rPr>
                <w:b/>
                <w:sz w:val="24"/>
              </w:rPr>
              <w:tab/>
              <w:t>Movimentação</w:t>
            </w:r>
            <w:r>
              <w:rPr>
                <w:b/>
                <w:spacing w:val="-5"/>
                <w:sz w:val="24"/>
              </w:rPr>
              <w:t> </w:t>
            </w:r>
            <w:r>
              <w:rPr>
                <w:b/>
                <w:sz w:val="24"/>
              </w:rPr>
              <w:t>das</w:t>
            </w:r>
            <w:r>
              <w:rPr>
                <w:b/>
                <w:spacing w:val="-1"/>
                <w:sz w:val="24"/>
              </w:rPr>
              <w:t> </w:t>
            </w:r>
            <w:r>
              <w:rPr>
                <w:b/>
                <w:sz w:val="24"/>
              </w:rPr>
              <w:t>perdas</w:t>
            </w:r>
            <w:r>
              <w:rPr>
                <w:b/>
                <w:spacing w:val="-3"/>
                <w:sz w:val="24"/>
              </w:rPr>
              <w:t> </w:t>
            </w:r>
            <w:r>
              <w:rPr>
                <w:b/>
                <w:sz w:val="24"/>
              </w:rPr>
              <w:t>de</w:t>
            </w:r>
            <w:r>
              <w:rPr>
                <w:b/>
                <w:spacing w:val="-1"/>
                <w:sz w:val="24"/>
              </w:rPr>
              <w:t> </w:t>
            </w:r>
            <w:r>
              <w:rPr>
                <w:b/>
                <w:sz w:val="24"/>
              </w:rPr>
              <w:t>créditos</w:t>
            </w:r>
            <w:r>
              <w:rPr>
                <w:b/>
                <w:spacing w:val="-3"/>
                <w:sz w:val="24"/>
              </w:rPr>
              <w:t> </w:t>
            </w:r>
            <w:r>
              <w:rPr>
                <w:b/>
                <w:sz w:val="24"/>
              </w:rPr>
              <w:t>esperadas</w:t>
            </w:r>
            <w:r>
              <w:rPr>
                <w:b/>
                <w:spacing w:val="-2"/>
                <w:sz w:val="24"/>
              </w:rPr>
              <w:t> </w:t>
            </w:r>
            <w:r>
              <w:rPr>
                <w:b/>
                <w:sz w:val="24"/>
              </w:rPr>
              <w:t>‐</w:t>
            </w:r>
            <w:r>
              <w:rPr>
                <w:b/>
                <w:spacing w:val="-1"/>
                <w:sz w:val="24"/>
              </w:rPr>
              <w:t> </w:t>
            </w:r>
            <w:r>
              <w:rPr>
                <w:b/>
                <w:spacing w:val="-5"/>
                <w:sz w:val="24"/>
              </w:rPr>
              <w:t>PCE</w:t>
            </w:r>
          </w:p>
        </w:tc>
        <w:tc>
          <w:tcPr>
            <w:tcW w:w="2756" w:type="dxa"/>
            <w:gridSpan w:val="2"/>
          </w:tcPr>
          <w:p>
            <w:pPr>
              <w:pStyle w:val="TableParagraph"/>
              <w:rPr>
                <w:rFonts w:ascii="Times New Roman"/>
                <w:sz w:val="22"/>
              </w:rPr>
            </w:pPr>
          </w:p>
        </w:tc>
      </w:tr>
      <w:tr>
        <w:trPr>
          <w:trHeight w:val="321" w:hRule="atLeast"/>
        </w:trPr>
        <w:tc>
          <w:tcPr>
            <w:tcW w:w="7543" w:type="dxa"/>
          </w:tcPr>
          <w:p>
            <w:pPr>
              <w:pStyle w:val="TableParagraph"/>
              <w:rPr>
                <w:rFonts w:ascii="Times New Roman"/>
                <w:sz w:val="22"/>
              </w:rPr>
            </w:pPr>
          </w:p>
        </w:tc>
        <w:tc>
          <w:tcPr>
            <w:tcW w:w="1728" w:type="dxa"/>
            <w:tcBorders>
              <w:bottom w:val="single" w:sz="24" w:space="0" w:color="000000"/>
            </w:tcBorders>
          </w:tcPr>
          <w:p>
            <w:pPr>
              <w:pStyle w:val="TableParagraph"/>
              <w:spacing w:line="158" w:lineRule="exact" w:before="135"/>
              <w:ind w:right="409"/>
              <w:jc w:val="right"/>
              <w:rPr>
                <w:b/>
                <w:sz w:val="18"/>
              </w:rPr>
            </w:pPr>
            <w:r>
              <w:rPr>
                <w:b/>
                <w:spacing w:val="-4"/>
                <w:sz w:val="18"/>
              </w:rPr>
              <w:t>2022</w:t>
            </w:r>
          </w:p>
        </w:tc>
        <w:tc>
          <w:tcPr>
            <w:tcW w:w="1028" w:type="dxa"/>
            <w:tcBorders>
              <w:bottom w:val="single" w:sz="24" w:space="0" w:color="000000"/>
            </w:tcBorders>
          </w:tcPr>
          <w:p>
            <w:pPr>
              <w:pStyle w:val="TableParagraph"/>
              <w:spacing w:line="158" w:lineRule="exact" w:before="135"/>
              <w:ind w:right="34"/>
              <w:jc w:val="right"/>
              <w:rPr>
                <w:b/>
                <w:sz w:val="18"/>
              </w:rPr>
            </w:pPr>
            <w:r>
              <w:rPr>
                <w:b/>
                <w:spacing w:val="-4"/>
                <w:sz w:val="18"/>
              </w:rPr>
              <w:t>2021</w:t>
            </w:r>
          </w:p>
        </w:tc>
      </w:tr>
      <w:tr>
        <w:trPr>
          <w:trHeight w:val="265" w:hRule="atLeast"/>
        </w:trPr>
        <w:tc>
          <w:tcPr>
            <w:tcW w:w="7543" w:type="dxa"/>
          </w:tcPr>
          <w:p>
            <w:pPr>
              <w:pStyle w:val="TableParagraph"/>
              <w:spacing w:before="19"/>
              <w:ind w:left="118"/>
              <w:rPr>
                <w:sz w:val="18"/>
              </w:rPr>
            </w:pPr>
            <w:r>
              <w:rPr>
                <w:sz w:val="18"/>
              </w:rPr>
              <w:t>Saldo</w:t>
            </w:r>
            <w:r>
              <w:rPr>
                <w:spacing w:val="-4"/>
                <w:sz w:val="18"/>
              </w:rPr>
              <w:t> </w:t>
            </w:r>
            <w:r>
              <w:rPr>
                <w:spacing w:val="-2"/>
                <w:sz w:val="18"/>
              </w:rPr>
              <w:t>inicial</w:t>
            </w:r>
          </w:p>
        </w:tc>
        <w:tc>
          <w:tcPr>
            <w:tcW w:w="1728" w:type="dxa"/>
            <w:tcBorders>
              <w:top w:val="single" w:sz="24" w:space="0" w:color="000000"/>
            </w:tcBorders>
          </w:tcPr>
          <w:p>
            <w:pPr>
              <w:pStyle w:val="TableParagraph"/>
              <w:spacing w:before="19"/>
              <w:ind w:right="413"/>
              <w:jc w:val="right"/>
              <w:rPr>
                <w:sz w:val="18"/>
              </w:rPr>
            </w:pPr>
            <w:r>
              <w:rPr>
                <w:spacing w:val="-2"/>
                <w:sz w:val="18"/>
              </w:rPr>
              <w:t>(4.551)</w:t>
            </w:r>
          </w:p>
        </w:tc>
        <w:tc>
          <w:tcPr>
            <w:tcW w:w="1028" w:type="dxa"/>
            <w:tcBorders>
              <w:top w:val="single" w:sz="24" w:space="0" w:color="000000"/>
            </w:tcBorders>
          </w:tcPr>
          <w:p>
            <w:pPr>
              <w:pStyle w:val="TableParagraph"/>
              <w:spacing w:before="19"/>
              <w:ind w:right="95"/>
              <w:jc w:val="right"/>
              <w:rPr>
                <w:sz w:val="18"/>
              </w:rPr>
            </w:pPr>
            <w:r>
              <w:rPr>
                <w:spacing w:val="-2"/>
                <w:sz w:val="18"/>
              </w:rPr>
              <w:t>(4.960)</w:t>
            </w:r>
          </w:p>
        </w:tc>
      </w:tr>
      <w:tr>
        <w:trPr>
          <w:trHeight w:val="187" w:hRule="atLeast"/>
        </w:trPr>
        <w:tc>
          <w:tcPr>
            <w:tcW w:w="7543" w:type="dxa"/>
          </w:tcPr>
          <w:p>
            <w:pPr>
              <w:pStyle w:val="TableParagraph"/>
              <w:spacing w:line="166" w:lineRule="exact" w:before="1"/>
              <w:ind w:left="118"/>
              <w:rPr>
                <w:sz w:val="18"/>
              </w:rPr>
            </w:pPr>
            <w:r>
              <w:rPr>
                <w:spacing w:val="-2"/>
                <w:sz w:val="18"/>
              </w:rPr>
              <w:t>Reversão</w:t>
            </w:r>
          </w:p>
        </w:tc>
        <w:tc>
          <w:tcPr>
            <w:tcW w:w="1728" w:type="dxa"/>
            <w:tcBorders>
              <w:bottom w:val="single" w:sz="24" w:space="0" w:color="000000"/>
            </w:tcBorders>
          </w:tcPr>
          <w:p>
            <w:pPr>
              <w:pStyle w:val="TableParagraph"/>
              <w:spacing w:line="140" w:lineRule="exact" w:before="1"/>
              <w:ind w:right="413"/>
              <w:jc w:val="right"/>
              <w:rPr>
                <w:sz w:val="18"/>
              </w:rPr>
            </w:pPr>
            <w:r>
              <w:rPr>
                <w:spacing w:val="-5"/>
                <w:sz w:val="18"/>
              </w:rPr>
              <w:t>226</w:t>
            </w:r>
          </w:p>
        </w:tc>
        <w:tc>
          <w:tcPr>
            <w:tcW w:w="1028" w:type="dxa"/>
            <w:tcBorders>
              <w:bottom w:val="single" w:sz="24" w:space="0" w:color="000000"/>
            </w:tcBorders>
          </w:tcPr>
          <w:p>
            <w:pPr>
              <w:pStyle w:val="TableParagraph"/>
              <w:spacing w:line="140" w:lineRule="exact" w:before="1"/>
              <w:ind w:right="34"/>
              <w:jc w:val="right"/>
              <w:rPr>
                <w:sz w:val="18"/>
              </w:rPr>
            </w:pPr>
            <w:r>
              <w:rPr>
                <w:spacing w:val="-5"/>
                <w:sz w:val="18"/>
              </w:rPr>
              <w:t>409</w:t>
            </w:r>
          </w:p>
        </w:tc>
      </w:tr>
      <w:tr>
        <w:trPr>
          <w:trHeight w:val="239" w:hRule="atLeast"/>
        </w:trPr>
        <w:tc>
          <w:tcPr>
            <w:tcW w:w="7543" w:type="dxa"/>
          </w:tcPr>
          <w:p>
            <w:pPr>
              <w:pStyle w:val="TableParagraph"/>
              <w:spacing w:line="198" w:lineRule="exact" w:before="21"/>
              <w:ind w:left="118"/>
              <w:rPr>
                <w:sz w:val="18"/>
              </w:rPr>
            </w:pPr>
            <w:r>
              <w:rPr>
                <w:sz w:val="18"/>
              </w:rPr>
              <w:t>Saldo</w:t>
            </w:r>
            <w:r>
              <w:rPr>
                <w:spacing w:val="-4"/>
                <w:sz w:val="18"/>
              </w:rPr>
              <w:t> </w:t>
            </w:r>
            <w:r>
              <w:rPr>
                <w:spacing w:val="-2"/>
                <w:sz w:val="18"/>
              </w:rPr>
              <w:t>final</w:t>
            </w:r>
          </w:p>
        </w:tc>
        <w:tc>
          <w:tcPr>
            <w:tcW w:w="1728" w:type="dxa"/>
            <w:tcBorders>
              <w:top w:val="single" w:sz="24" w:space="0" w:color="000000"/>
              <w:bottom w:val="single" w:sz="24" w:space="0" w:color="000000"/>
            </w:tcBorders>
          </w:tcPr>
          <w:p>
            <w:pPr>
              <w:pStyle w:val="TableParagraph"/>
              <w:spacing w:line="198" w:lineRule="exact" w:before="47"/>
              <w:ind w:right="413"/>
              <w:jc w:val="right"/>
              <w:rPr>
                <w:sz w:val="18"/>
              </w:rPr>
            </w:pPr>
            <w:r>
              <w:rPr>
                <w:spacing w:val="-2"/>
                <w:sz w:val="18"/>
              </w:rPr>
              <w:t>(4.325)</w:t>
            </w:r>
          </w:p>
        </w:tc>
        <w:tc>
          <w:tcPr>
            <w:tcW w:w="1028" w:type="dxa"/>
            <w:tcBorders>
              <w:top w:val="single" w:sz="24" w:space="0" w:color="000000"/>
              <w:bottom w:val="single" w:sz="24" w:space="0" w:color="000000"/>
            </w:tcBorders>
          </w:tcPr>
          <w:p>
            <w:pPr>
              <w:pStyle w:val="TableParagraph"/>
              <w:spacing w:line="198" w:lineRule="exact" w:before="47"/>
              <w:ind w:right="95"/>
              <w:jc w:val="right"/>
              <w:rPr>
                <w:sz w:val="18"/>
              </w:rPr>
            </w:pPr>
            <w:r>
              <w:rPr>
                <w:spacing w:val="-2"/>
                <w:sz w:val="18"/>
              </w:rPr>
              <w:t>(4.551)</w:t>
            </w:r>
          </w:p>
        </w:tc>
      </w:tr>
      <w:tr>
        <w:trPr>
          <w:trHeight w:val="842" w:hRule="atLeast"/>
        </w:trPr>
        <w:tc>
          <w:tcPr>
            <w:tcW w:w="7543" w:type="dxa"/>
          </w:tcPr>
          <w:p>
            <w:pPr>
              <w:pStyle w:val="TableParagraph"/>
              <w:spacing w:before="88"/>
              <w:rPr>
                <w:sz w:val="24"/>
              </w:rPr>
            </w:pPr>
          </w:p>
          <w:p>
            <w:pPr>
              <w:pStyle w:val="TableParagraph"/>
              <w:tabs>
                <w:tab w:pos="617" w:val="left" w:leader="none"/>
              </w:tabs>
              <w:ind w:left="50"/>
              <w:rPr>
                <w:b/>
                <w:sz w:val="24"/>
              </w:rPr>
            </w:pPr>
            <w:r>
              <w:rPr>
                <w:b/>
                <w:spacing w:val="-4"/>
                <w:sz w:val="24"/>
              </w:rPr>
              <w:t>6.3.</w:t>
            </w:r>
            <w:r>
              <w:rPr>
                <w:b/>
                <w:sz w:val="24"/>
              </w:rPr>
              <w:tab/>
              <w:t>Contas</w:t>
            </w:r>
            <w:r>
              <w:rPr>
                <w:b/>
                <w:spacing w:val="-4"/>
                <w:sz w:val="24"/>
              </w:rPr>
              <w:t> </w:t>
            </w:r>
            <w:r>
              <w:rPr>
                <w:b/>
                <w:sz w:val="24"/>
              </w:rPr>
              <w:t>a</w:t>
            </w:r>
            <w:r>
              <w:rPr>
                <w:b/>
                <w:spacing w:val="-1"/>
                <w:sz w:val="24"/>
              </w:rPr>
              <w:t> </w:t>
            </w:r>
            <w:r>
              <w:rPr>
                <w:b/>
                <w:sz w:val="24"/>
              </w:rPr>
              <w:t>receber</w:t>
            </w:r>
            <w:r>
              <w:rPr>
                <w:b/>
                <w:spacing w:val="-1"/>
                <w:sz w:val="24"/>
              </w:rPr>
              <w:t> </w:t>
            </w:r>
            <w:r>
              <w:rPr>
                <w:b/>
                <w:sz w:val="24"/>
              </w:rPr>
              <w:t>vencidos</w:t>
            </w:r>
            <w:r>
              <w:rPr>
                <w:b/>
                <w:spacing w:val="-2"/>
                <w:sz w:val="24"/>
              </w:rPr>
              <w:t> </w:t>
            </w:r>
            <w:r>
              <w:rPr>
                <w:b/>
                <w:sz w:val="24"/>
              </w:rPr>
              <w:t>–</w:t>
            </w:r>
            <w:r>
              <w:rPr>
                <w:b/>
                <w:spacing w:val="-1"/>
                <w:sz w:val="24"/>
              </w:rPr>
              <w:t> </w:t>
            </w:r>
            <w:r>
              <w:rPr>
                <w:b/>
                <w:sz w:val="24"/>
              </w:rPr>
              <w:t>clientes</w:t>
            </w:r>
            <w:r>
              <w:rPr>
                <w:b/>
                <w:spacing w:val="-2"/>
                <w:sz w:val="24"/>
              </w:rPr>
              <w:t> terceiros</w:t>
            </w:r>
          </w:p>
        </w:tc>
        <w:tc>
          <w:tcPr>
            <w:tcW w:w="1728" w:type="dxa"/>
            <w:tcBorders>
              <w:top w:val="single" w:sz="24" w:space="0" w:color="000000"/>
            </w:tcBorders>
          </w:tcPr>
          <w:p>
            <w:pPr>
              <w:pStyle w:val="TableParagraph"/>
              <w:rPr>
                <w:rFonts w:ascii="Times New Roman"/>
                <w:sz w:val="22"/>
              </w:rPr>
            </w:pPr>
          </w:p>
        </w:tc>
        <w:tc>
          <w:tcPr>
            <w:tcW w:w="1028" w:type="dxa"/>
            <w:tcBorders>
              <w:top w:val="single" w:sz="24" w:space="0" w:color="000000"/>
            </w:tcBorders>
          </w:tcPr>
          <w:p>
            <w:pPr>
              <w:pStyle w:val="TableParagraph"/>
              <w:rPr>
                <w:rFonts w:ascii="Times New Roman"/>
                <w:sz w:val="22"/>
              </w:rPr>
            </w:pPr>
          </w:p>
        </w:tc>
      </w:tr>
      <w:tr>
        <w:trPr>
          <w:trHeight w:val="322" w:hRule="atLeast"/>
        </w:trPr>
        <w:tc>
          <w:tcPr>
            <w:tcW w:w="7543" w:type="dxa"/>
          </w:tcPr>
          <w:p>
            <w:pPr>
              <w:pStyle w:val="TableParagraph"/>
              <w:rPr>
                <w:rFonts w:ascii="Times New Roman"/>
                <w:sz w:val="22"/>
              </w:rPr>
            </w:pPr>
          </w:p>
        </w:tc>
        <w:tc>
          <w:tcPr>
            <w:tcW w:w="1728" w:type="dxa"/>
            <w:tcBorders>
              <w:bottom w:val="single" w:sz="24" w:space="0" w:color="000000"/>
            </w:tcBorders>
          </w:tcPr>
          <w:p>
            <w:pPr>
              <w:pStyle w:val="TableParagraph"/>
              <w:spacing w:line="139" w:lineRule="exact" w:before="136"/>
              <w:ind w:right="413"/>
              <w:jc w:val="right"/>
              <w:rPr>
                <w:b/>
                <w:sz w:val="18"/>
              </w:rPr>
            </w:pPr>
            <w:r>
              <w:rPr>
                <w:b/>
                <w:spacing w:val="-4"/>
                <w:sz w:val="18"/>
              </w:rPr>
              <w:t>2022</w:t>
            </w:r>
          </w:p>
        </w:tc>
        <w:tc>
          <w:tcPr>
            <w:tcW w:w="1028" w:type="dxa"/>
            <w:tcBorders>
              <w:bottom w:val="single" w:sz="24" w:space="0" w:color="000000"/>
            </w:tcBorders>
          </w:tcPr>
          <w:p>
            <w:pPr>
              <w:pStyle w:val="TableParagraph"/>
              <w:spacing w:line="139" w:lineRule="exact" w:before="136"/>
              <w:ind w:right="34"/>
              <w:jc w:val="right"/>
              <w:rPr>
                <w:b/>
                <w:sz w:val="18"/>
              </w:rPr>
            </w:pPr>
            <w:r>
              <w:rPr>
                <w:b/>
                <w:spacing w:val="-4"/>
                <w:sz w:val="18"/>
              </w:rPr>
              <w:t>2021</w:t>
            </w:r>
          </w:p>
        </w:tc>
      </w:tr>
      <w:tr>
        <w:trPr>
          <w:trHeight w:val="272" w:hRule="atLeast"/>
        </w:trPr>
        <w:tc>
          <w:tcPr>
            <w:tcW w:w="7543" w:type="dxa"/>
          </w:tcPr>
          <w:p>
            <w:pPr>
              <w:pStyle w:val="TableParagraph"/>
              <w:spacing w:before="38"/>
              <w:ind w:left="118"/>
              <w:rPr>
                <w:sz w:val="18"/>
              </w:rPr>
            </w:pPr>
            <w:r>
              <w:rPr>
                <w:sz w:val="18"/>
              </w:rPr>
              <w:t>De</w:t>
            </w:r>
            <w:r>
              <w:rPr>
                <w:spacing w:val="-1"/>
                <w:sz w:val="18"/>
              </w:rPr>
              <w:t> </w:t>
            </w:r>
            <w:r>
              <w:rPr>
                <w:sz w:val="18"/>
              </w:rPr>
              <w:t>6 a 12 </w:t>
            </w:r>
            <w:r>
              <w:rPr>
                <w:spacing w:val="-2"/>
                <w:sz w:val="18"/>
              </w:rPr>
              <w:t>meses</w:t>
            </w:r>
          </w:p>
        </w:tc>
        <w:tc>
          <w:tcPr>
            <w:tcW w:w="1728" w:type="dxa"/>
            <w:tcBorders>
              <w:top w:val="single" w:sz="24" w:space="0" w:color="000000"/>
            </w:tcBorders>
          </w:tcPr>
          <w:p>
            <w:pPr>
              <w:pStyle w:val="TableParagraph"/>
              <w:spacing w:before="38"/>
              <w:ind w:right="414"/>
              <w:jc w:val="right"/>
              <w:rPr>
                <w:sz w:val="18"/>
              </w:rPr>
            </w:pPr>
            <w:r>
              <w:rPr>
                <w:spacing w:val="-10"/>
                <w:sz w:val="18"/>
              </w:rPr>
              <w:t>‐</w:t>
            </w:r>
          </w:p>
        </w:tc>
        <w:tc>
          <w:tcPr>
            <w:tcW w:w="1028" w:type="dxa"/>
            <w:tcBorders>
              <w:top w:val="single" w:sz="24" w:space="0" w:color="000000"/>
            </w:tcBorders>
          </w:tcPr>
          <w:p>
            <w:pPr>
              <w:pStyle w:val="TableParagraph"/>
              <w:spacing w:before="38"/>
              <w:ind w:right="96"/>
              <w:jc w:val="right"/>
              <w:rPr>
                <w:sz w:val="18"/>
              </w:rPr>
            </w:pPr>
            <w:r>
              <w:rPr>
                <w:spacing w:val="-5"/>
                <w:sz w:val="18"/>
              </w:rPr>
              <w:t>57</w:t>
            </w:r>
          </w:p>
        </w:tc>
      </w:tr>
      <w:tr>
        <w:trPr>
          <w:trHeight w:val="195" w:hRule="atLeast"/>
        </w:trPr>
        <w:tc>
          <w:tcPr>
            <w:tcW w:w="7543" w:type="dxa"/>
          </w:tcPr>
          <w:p>
            <w:pPr>
              <w:pStyle w:val="TableParagraph"/>
              <w:spacing w:line="166" w:lineRule="exact" w:before="9"/>
              <w:ind w:left="118"/>
              <w:rPr>
                <w:sz w:val="18"/>
              </w:rPr>
            </w:pPr>
            <w:r>
              <w:rPr>
                <w:sz w:val="18"/>
              </w:rPr>
              <w:t>Acima</w:t>
            </w:r>
            <w:r>
              <w:rPr>
                <w:spacing w:val="-4"/>
                <w:sz w:val="18"/>
              </w:rPr>
              <w:t> </w:t>
            </w:r>
            <w:r>
              <w:rPr>
                <w:sz w:val="18"/>
              </w:rPr>
              <w:t>de</w:t>
            </w:r>
            <w:r>
              <w:rPr>
                <w:spacing w:val="-1"/>
                <w:sz w:val="18"/>
              </w:rPr>
              <w:t> </w:t>
            </w:r>
            <w:r>
              <w:rPr>
                <w:sz w:val="18"/>
              </w:rPr>
              <w:t>12</w:t>
            </w:r>
            <w:r>
              <w:rPr>
                <w:spacing w:val="-1"/>
                <w:sz w:val="18"/>
              </w:rPr>
              <w:t> </w:t>
            </w:r>
            <w:r>
              <w:rPr>
                <w:spacing w:val="-2"/>
                <w:sz w:val="18"/>
              </w:rPr>
              <w:t>meses</w:t>
            </w:r>
          </w:p>
        </w:tc>
        <w:tc>
          <w:tcPr>
            <w:tcW w:w="1728" w:type="dxa"/>
            <w:tcBorders>
              <w:bottom w:val="single" w:sz="24" w:space="0" w:color="000000"/>
            </w:tcBorders>
          </w:tcPr>
          <w:p>
            <w:pPr>
              <w:pStyle w:val="TableParagraph"/>
              <w:spacing w:line="150" w:lineRule="exact" w:before="9"/>
              <w:ind w:right="412"/>
              <w:jc w:val="right"/>
              <w:rPr>
                <w:sz w:val="18"/>
              </w:rPr>
            </w:pPr>
            <w:r>
              <w:rPr>
                <w:spacing w:val="-2"/>
                <w:sz w:val="18"/>
              </w:rPr>
              <w:t>4.325</w:t>
            </w:r>
          </w:p>
        </w:tc>
        <w:tc>
          <w:tcPr>
            <w:tcW w:w="1028" w:type="dxa"/>
            <w:tcBorders>
              <w:bottom w:val="single" w:sz="24" w:space="0" w:color="000000"/>
            </w:tcBorders>
          </w:tcPr>
          <w:p>
            <w:pPr>
              <w:pStyle w:val="TableParagraph"/>
              <w:spacing w:line="150" w:lineRule="exact" w:before="9"/>
              <w:ind w:right="36"/>
              <w:jc w:val="right"/>
              <w:rPr>
                <w:sz w:val="18"/>
              </w:rPr>
            </w:pPr>
            <w:r>
              <w:rPr>
                <w:spacing w:val="-2"/>
                <w:sz w:val="18"/>
              </w:rPr>
              <w:t>4.551</w:t>
            </w:r>
          </w:p>
        </w:tc>
      </w:tr>
      <w:tr>
        <w:trPr>
          <w:trHeight w:val="241" w:hRule="atLeast"/>
        </w:trPr>
        <w:tc>
          <w:tcPr>
            <w:tcW w:w="7543" w:type="dxa"/>
          </w:tcPr>
          <w:p>
            <w:pPr>
              <w:pStyle w:val="TableParagraph"/>
              <w:rPr>
                <w:rFonts w:ascii="Times New Roman"/>
                <w:sz w:val="16"/>
              </w:rPr>
            </w:pPr>
          </w:p>
        </w:tc>
        <w:tc>
          <w:tcPr>
            <w:tcW w:w="1728" w:type="dxa"/>
            <w:tcBorders>
              <w:top w:val="single" w:sz="24" w:space="0" w:color="000000"/>
              <w:bottom w:val="single" w:sz="24" w:space="0" w:color="000000"/>
            </w:tcBorders>
          </w:tcPr>
          <w:p>
            <w:pPr>
              <w:pStyle w:val="TableParagraph"/>
              <w:spacing w:line="199" w:lineRule="exact" w:before="38"/>
              <w:ind w:right="415"/>
              <w:jc w:val="right"/>
              <w:rPr>
                <w:sz w:val="18"/>
              </w:rPr>
            </w:pPr>
            <w:r>
              <w:rPr>
                <w:spacing w:val="-2"/>
                <w:sz w:val="18"/>
              </w:rPr>
              <w:t>4.325</w:t>
            </w:r>
          </w:p>
        </w:tc>
        <w:tc>
          <w:tcPr>
            <w:tcW w:w="1028" w:type="dxa"/>
            <w:tcBorders>
              <w:top w:val="single" w:sz="24" w:space="0" w:color="000000"/>
              <w:bottom w:val="single" w:sz="24" w:space="0" w:color="000000"/>
            </w:tcBorders>
          </w:tcPr>
          <w:p>
            <w:pPr>
              <w:pStyle w:val="TableParagraph"/>
              <w:spacing w:line="199" w:lineRule="exact" w:before="38"/>
              <w:ind w:right="97"/>
              <w:jc w:val="right"/>
              <w:rPr>
                <w:sz w:val="18"/>
              </w:rPr>
            </w:pPr>
            <w:r>
              <w:rPr>
                <w:spacing w:val="-2"/>
                <w:sz w:val="18"/>
              </w:rPr>
              <w:t>4.608</w:t>
            </w:r>
          </w:p>
        </w:tc>
      </w:tr>
    </w:tbl>
    <w:p>
      <w:pPr>
        <w:spacing w:after="0" w:line="199" w:lineRule="exact"/>
        <w:jc w:val="right"/>
        <w:rPr>
          <w:sz w:val="18"/>
        </w:rPr>
        <w:sectPr>
          <w:pgSz w:w="11910" w:h="16840"/>
          <w:pgMar w:header="637" w:footer="630" w:top="1800" w:bottom="820" w:left="700" w:right="480"/>
        </w:sectPr>
      </w:pPr>
    </w:p>
    <w:p>
      <w:pPr>
        <w:pStyle w:val="BodyText"/>
        <w:spacing w:before="51"/>
        <w:rPr>
          <w:sz w:val="26"/>
        </w:rPr>
      </w:pPr>
    </w:p>
    <w:p>
      <w:pPr>
        <w:pStyle w:val="Heading3"/>
        <w:numPr>
          <w:ilvl w:val="0"/>
          <w:numId w:val="9"/>
        </w:numPr>
        <w:tabs>
          <w:tab w:pos="718" w:val="left" w:leader="none"/>
        </w:tabs>
        <w:spacing w:line="240" w:lineRule="auto" w:before="1" w:after="0"/>
        <w:ind w:left="718" w:right="0" w:hanging="568"/>
        <w:jc w:val="left"/>
      </w:pPr>
      <w:bookmarkStart w:name="_TOC_250010" w:id="15"/>
      <w:bookmarkEnd w:id="15"/>
      <w:r>
        <w:rPr>
          <w:spacing w:val="-2"/>
        </w:rPr>
        <w:t>Estoques</w:t>
      </w:r>
    </w:p>
    <w:p>
      <w:pPr>
        <w:tabs>
          <w:tab w:pos="1389" w:val="left" w:leader="none"/>
        </w:tabs>
        <w:spacing w:before="300"/>
        <w:ind w:left="0" w:right="388" w:firstLine="0"/>
        <w:jc w:val="right"/>
        <w:rPr>
          <w:b/>
          <w:sz w:val="18"/>
        </w:rPr>
      </w:pPr>
      <w:r>
        <w:rPr/>
        <mc:AlternateContent>
          <mc:Choice Requires="wps">
            <w:drawing>
              <wp:anchor distT="0" distB="0" distL="0" distR="0" allowOverlap="1" layoutInCell="1" locked="0" behindDoc="1" simplePos="0" relativeHeight="485606912">
                <wp:simplePos x="0" y="0"/>
                <wp:positionH relativeFrom="page">
                  <wp:posOffset>5304708</wp:posOffset>
                </wp:positionH>
                <wp:positionV relativeFrom="paragraph">
                  <wp:posOffset>304120</wp:posOffset>
                </wp:positionV>
                <wp:extent cx="1746885" cy="3175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1746885" cy="31750"/>
                          <a:chExt cx="1746885" cy="31750"/>
                        </a:xfrm>
                      </wpg:grpSpPr>
                      <wps:wsp>
                        <wps:cNvPr id="85" name="Graphic 85"/>
                        <wps:cNvSpPr/>
                        <wps:spPr>
                          <a:xfrm>
                            <a:off x="11003" y="8066"/>
                            <a:ext cx="1691005" cy="7620"/>
                          </a:xfrm>
                          <a:custGeom>
                            <a:avLst/>
                            <a:gdLst/>
                            <a:ahLst/>
                            <a:cxnLst/>
                            <a:rect l="l" t="t" r="r" b="b"/>
                            <a:pathLst>
                              <a:path w="1691005" h="7620">
                                <a:moveTo>
                                  <a:pt x="1094994" y="0"/>
                                </a:moveTo>
                                <a:lnTo>
                                  <a:pt x="0" y="0"/>
                                </a:lnTo>
                                <a:lnTo>
                                  <a:pt x="0" y="7620"/>
                                </a:lnTo>
                                <a:lnTo>
                                  <a:pt x="1094994" y="7620"/>
                                </a:lnTo>
                                <a:lnTo>
                                  <a:pt x="1094994" y="0"/>
                                </a:lnTo>
                                <a:close/>
                              </a:path>
                              <a:path w="1691005" h="7620">
                                <a:moveTo>
                                  <a:pt x="1690878" y="0"/>
                                </a:moveTo>
                                <a:lnTo>
                                  <a:pt x="1459230" y="0"/>
                                </a:lnTo>
                                <a:lnTo>
                                  <a:pt x="1459230" y="7620"/>
                                </a:lnTo>
                                <a:lnTo>
                                  <a:pt x="1690878" y="7620"/>
                                </a:lnTo>
                                <a:lnTo>
                                  <a:pt x="1690878"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12700" y="12700"/>
                            <a:ext cx="1721485" cy="6350"/>
                          </a:xfrm>
                          <a:custGeom>
                            <a:avLst/>
                            <a:gdLst/>
                            <a:ahLst/>
                            <a:cxnLst/>
                            <a:rect l="l" t="t" r="r" b="b"/>
                            <a:pathLst>
                              <a:path w="1721485" h="6350">
                                <a:moveTo>
                                  <a:pt x="0" y="6117"/>
                                </a:moveTo>
                                <a:lnTo>
                                  <a:pt x="1720894"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693604pt;margin-top:23.946518pt;width:137.550pt;height:2.5pt;mso-position-horizontal-relative:page;mso-position-vertical-relative:paragraph;z-index:-17709568" id="docshapegroup67" coordorigin="8354,479" coordsize="2751,50">
                <v:shape style="position:absolute;left:8371;top:491;width:2663;height:12" id="docshape68" coordorigin="8371,492" coordsize="2663,12" path="m10096,492l8371,492,8371,504,10096,504,10096,492xm11034,492l10669,492,10669,504,11034,504,11034,492xe" filled="true" fillcolor="#000000" stroked="false">
                  <v:path arrowok="t"/>
                  <v:fill type="solid"/>
                </v:shape>
                <v:line style="position:absolute" from="8374,509" to="11084,499" stroked="true" strokeweight="2pt" strokecolor="#000000">
                  <v:stroke dashstyle="solid"/>
                </v:line>
                <w10:wrap type="none"/>
              </v:group>
            </w:pict>
          </mc:Fallback>
        </mc:AlternateContent>
      </w:r>
      <w:r>
        <w:rPr>
          <w:b/>
          <w:spacing w:val="-4"/>
          <w:sz w:val="18"/>
        </w:rPr>
        <w:t>2022</w:t>
      </w:r>
      <w:r>
        <w:rPr>
          <w:b/>
          <w:sz w:val="18"/>
        </w:rPr>
        <w:tab/>
      </w:r>
      <w:r>
        <w:rPr>
          <w:b/>
          <w:spacing w:val="-4"/>
          <w:sz w:val="18"/>
        </w:rPr>
        <w:t>2021</w:t>
      </w:r>
    </w:p>
    <w:p>
      <w:pPr>
        <w:tabs>
          <w:tab w:pos="8663" w:val="left" w:leader="none"/>
          <w:tab w:pos="9997" w:val="left" w:leader="none"/>
        </w:tabs>
        <w:spacing w:before="38"/>
        <w:ind w:left="0" w:right="450" w:firstLine="0"/>
        <w:jc w:val="right"/>
        <w:rPr>
          <w:sz w:val="18"/>
        </w:rPr>
      </w:pPr>
      <w:r>
        <w:rPr>
          <w:sz w:val="18"/>
        </w:rPr>
        <w:t>Produtos</w:t>
      </w:r>
      <w:r>
        <w:rPr>
          <w:spacing w:val="-7"/>
          <w:sz w:val="18"/>
        </w:rPr>
        <w:t> </w:t>
      </w:r>
      <w:r>
        <w:rPr>
          <w:spacing w:val="-2"/>
          <w:sz w:val="18"/>
        </w:rPr>
        <w:t>acabados</w:t>
      </w:r>
      <w:r>
        <w:rPr>
          <w:sz w:val="18"/>
        </w:rPr>
        <w:tab/>
      </w:r>
      <w:r>
        <w:rPr>
          <w:spacing w:val="-10"/>
          <w:sz w:val="18"/>
        </w:rPr>
        <w:t>‐</w:t>
      </w:r>
      <w:r>
        <w:rPr>
          <w:sz w:val="18"/>
        </w:rPr>
        <w:tab/>
      </w:r>
      <w:r>
        <w:rPr>
          <w:spacing w:val="-10"/>
          <w:sz w:val="18"/>
        </w:rPr>
        <w:t>‐</w:t>
      </w:r>
    </w:p>
    <w:p>
      <w:pPr>
        <w:pStyle w:val="BodyText"/>
        <w:spacing w:before="2"/>
        <w:rPr>
          <w:sz w:val="7"/>
        </w:rPr>
      </w:pPr>
    </w:p>
    <w:tbl>
      <w:tblPr>
        <w:tblW w:w="0" w:type="auto"/>
        <w:jc w:val="left"/>
        <w:tblInd w:w="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766"/>
        <w:gridCol w:w="3275"/>
        <w:gridCol w:w="908"/>
      </w:tblGrid>
      <w:tr>
        <w:trPr>
          <w:trHeight w:val="224" w:hRule="atLeast"/>
        </w:trPr>
        <w:tc>
          <w:tcPr>
            <w:tcW w:w="5766" w:type="dxa"/>
          </w:tcPr>
          <w:p>
            <w:pPr>
              <w:pStyle w:val="TableParagraph"/>
              <w:spacing w:line="183" w:lineRule="exact"/>
              <w:ind w:left="50"/>
              <w:rPr>
                <w:sz w:val="18"/>
              </w:rPr>
            </w:pPr>
            <w:r>
              <w:rPr>
                <w:spacing w:val="-2"/>
                <w:sz w:val="18"/>
              </w:rPr>
              <w:t>Ureia</w:t>
            </w:r>
          </w:p>
        </w:tc>
        <w:tc>
          <w:tcPr>
            <w:tcW w:w="3275" w:type="dxa"/>
          </w:tcPr>
          <w:p>
            <w:pPr>
              <w:pStyle w:val="TableParagraph"/>
              <w:spacing w:line="183" w:lineRule="exact"/>
              <w:ind w:right="472"/>
              <w:jc w:val="right"/>
              <w:rPr>
                <w:sz w:val="18"/>
              </w:rPr>
            </w:pPr>
            <w:r>
              <w:rPr>
                <w:spacing w:val="-10"/>
                <w:sz w:val="18"/>
              </w:rPr>
              <w:t>2</w:t>
            </w:r>
          </w:p>
        </w:tc>
        <w:tc>
          <w:tcPr>
            <w:tcW w:w="908" w:type="dxa"/>
          </w:tcPr>
          <w:p>
            <w:pPr>
              <w:pStyle w:val="TableParagraph"/>
              <w:spacing w:line="183" w:lineRule="exact"/>
              <w:ind w:right="47"/>
              <w:jc w:val="right"/>
              <w:rPr>
                <w:sz w:val="18"/>
              </w:rPr>
            </w:pPr>
            <w:r>
              <w:rPr>
                <w:spacing w:val="-10"/>
                <w:sz w:val="18"/>
              </w:rPr>
              <w:t>2</w:t>
            </w:r>
          </w:p>
        </w:tc>
      </w:tr>
      <w:tr>
        <w:trPr>
          <w:trHeight w:val="270" w:hRule="atLeast"/>
        </w:trPr>
        <w:tc>
          <w:tcPr>
            <w:tcW w:w="5766" w:type="dxa"/>
          </w:tcPr>
          <w:p>
            <w:pPr>
              <w:pStyle w:val="TableParagraph"/>
              <w:spacing w:before="8"/>
              <w:ind w:left="50"/>
              <w:rPr>
                <w:sz w:val="18"/>
              </w:rPr>
            </w:pPr>
            <w:r>
              <w:rPr>
                <w:spacing w:val="-4"/>
                <w:sz w:val="18"/>
              </w:rPr>
              <w:t>Arla</w:t>
            </w:r>
          </w:p>
        </w:tc>
        <w:tc>
          <w:tcPr>
            <w:tcW w:w="3275" w:type="dxa"/>
          </w:tcPr>
          <w:p>
            <w:pPr>
              <w:pStyle w:val="TableParagraph"/>
              <w:spacing w:before="8"/>
              <w:ind w:right="472"/>
              <w:jc w:val="right"/>
              <w:rPr>
                <w:sz w:val="18"/>
              </w:rPr>
            </w:pPr>
            <w:r>
              <w:rPr>
                <w:spacing w:val="-5"/>
                <w:sz w:val="18"/>
              </w:rPr>
              <w:t>17</w:t>
            </w:r>
          </w:p>
        </w:tc>
        <w:tc>
          <w:tcPr>
            <w:tcW w:w="908" w:type="dxa"/>
          </w:tcPr>
          <w:p>
            <w:pPr>
              <w:pStyle w:val="TableParagraph"/>
              <w:spacing w:before="8"/>
              <w:ind w:right="47"/>
              <w:jc w:val="right"/>
              <w:rPr>
                <w:sz w:val="18"/>
              </w:rPr>
            </w:pPr>
            <w:r>
              <w:rPr>
                <w:spacing w:val="-5"/>
                <w:sz w:val="18"/>
              </w:rPr>
              <w:t>17</w:t>
            </w:r>
          </w:p>
        </w:tc>
      </w:tr>
      <w:tr>
        <w:trPr>
          <w:trHeight w:val="270" w:hRule="atLeast"/>
        </w:trPr>
        <w:tc>
          <w:tcPr>
            <w:tcW w:w="5766" w:type="dxa"/>
          </w:tcPr>
          <w:p>
            <w:pPr>
              <w:pStyle w:val="TableParagraph"/>
              <w:spacing w:before="9"/>
              <w:ind w:left="50"/>
              <w:rPr>
                <w:sz w:val="18"/>
              </w:rPr>
            </w:pPr>
            <w:r>
              <w:rPr>
                <w:spacing w:val="-2"/>
                <w:sz w:val="18"/>
              </w:rPr>
              <w:t>Outros</w:t>
            </w:r>
          </w:p>
        </w:tc>
        <w:tc>
          <w:tcPr>
            <w:tcW w:w="3275" w:type="dxa"/>
          </w:tcPr>
          <w:p>
            <w:pPr>
              <w:pStyle w:val="TableParagraph"/>
              <w:spacing w:before="9"/>
              <w:ind w:right="472"/>
              <w:jc w:val="right"/>
              <w:rPr>
                <w:sz w:val="18"/>
              </w:rPr>
            </w:pPr>
            <w:r>
              <w:rPr>
                <w:spacing w:val="-5"/>
                <w:sz w:val="18"/>
              </w:rPr>
              <w:t>403</w:t>
            </w:r>
          </w:p>
        </w:tc>
        <w:tc>
          <w:tcPr>
            <w:tcW w:w="908" w:type="dxa"/>
          </w:tcPr>
          <w:p>
            <w:pPr>
              <w:pStyle w:val="TableParagraph"/>
              <w:spacing w:before="9"/>
              <w:ind w:right="47"/>
              <w:jc w:val="right"/>
              <w:rPr>
                <w:sz w:val="18"/>
              </w:rPr>
            </w:pPr>
            <w:r>
              <w:rPr>
                <w:spacing w:val="-5"/>
                <w:sz w:val="18"/>
              </w:rPr>
              <w:t>403</w:t>
            </w:r>
          </w:p>
        </w:tc>
      </w:tr>
      <w:tr>
        <w:trPr>
          <w:trHeight w:val="224" w:hRule="atLeast"/>
        </w:trPr>
        <w:tc>
          <w:tcPr>
            <w:tcW w:w="5766" w:type="dxa"/>
          </w:tcPr>
          <w:p>
            <w:pPr>
              <w:pStyle w:val="TableParagraph"/>
              <w:spacing w:line="196" w:lineRule="exact" w:before="8"/>
              <w:ind w:left="50"/>
              <w:rPr>
                <w:sz w:val="18"/>
              </w:rPr>
            </w:pPr>
            <w:r>
              <w:rPr>
                <w:sz w:val="18"/>
              </w:rPr>
              <w:t>Provisão</w:t>
            </w:r>
            <w:r>
              <w:rPr>
                <w:spacing w:val="-3"/>
                <w:sz w:val="18"/>
              </w:rPr>
              <w:t> </w:t>
            </w:r>
            <w:r>
              <w:rPr>
                <w:sz w:val="18"/>
              </w:rPr>
              <w:t>para</w:t>
            </w:r>
            <w:r>
              <w:rPr>
                <w:spacing w:val="-2"/>
                <w:sz w:val="18"/>
              </w:rPr>
              <w:t> </w:t>
            </w:r>
            <w:r>
              <w:rPr>
                <w:sz w:val="18"/>
              </w:rPr>
              <w:t>ajuste</w:t>
            </w:r>
            <w:r>
              <w:rPr>
                <w:spacing w:val="-2"/>
                <w:sz w:val="18"/>
              </w:rPr>
              <w:t> </w:t>
            </w:r>
            <w:r>
              <w:rPr>
                <w:sz w:val="18"/>
              </w:rPr>
              <w:t>ao</w:t>
            </w:r>
            <w:r>
              <w:rPr>
                <w:spacing w:val="-3"/>
                <w:sz w:val="18"/>
              </w:rPr>
              <w:t> </w:t>
            </w:r>
            <w:r>
              <w:rPr>
                <w:sz w:val="18"/>
              </w:rPr>
              <w:t>valor</w:t>
            </w:r>
            <w:r>
              <w:rPr>
                <w:spacing w:val="-3"/>
                <w:sz w:val="18"/>
              </w:rPr>
              <w:t> </w:t>
            </w:r>
            <w:r>
              <w:rPr>
                <w:sz w:val="18"/>
              </w:rPr>
              <w:t>de</w:t>
            </w:r>
            <w:r>
              <w:rPr>
                <w:spacing w:val="-3"/>
                <w:sz w:val="18"/>
              </w:rPr>
              <w:t> </w:t>
            </w:r>
            <w:r>
              <w:rPr>
                <w:sz w:val="18"/>
              </w:rPr>
              <w:t>realização</w:t>
            </w:r>
            <w:r>
              <w:rPr>
                <w:spacing w:val="-2"/>
                <w:sz w:val="18"/>
              </w:rPr>
              <w:t> </w:t>
            </w:r>
            <w:r>
              <w:rPr>
                <w:spacing w:val="-5"/>
                <w:sz w:val="18"/>
              </w:rPr>
              <w:t>(i)</w:t>
            </w:r>
          </w:p>
        </w:tc>
        <w:tc>
          <w:tcPr>
            <w:tcW w:w="3275" w:type="dxa"/>
          </w:tcPr>
          <w:p>
            <w:pPr>
              <w:pStyle w:val="TableParagraph"/>
              <w:spacing w:line="196" w:lineRule="exact" w:before="8"/>
              <w:ind w:right="473"/>
              <w:jc w:val="right"/>
              <w:rPr>
                <w:sz w:val="18"/>
              </w:rPr>
            </w:pPr>
            <w:r>
              <w:rPr>
                <w:spacing w:val="-2"/>
                <w:sz w:val="18"/>
              </w:rPr>
              <w:t>(422)</w:t>
            </w:r>
          </w:p>
        </w:tc>
        <w:tc>
          <w:tcPr>
            <w:tcW w:w="908" w:type="dxa"/>
          </w:tcPr>
          <w:p>
            <w:pPr>
              <w:pStyle w:val="TableParagraph"/>
              <w:spacing w:line="196" w:lineRule="exact" w:before="8"/>
              <w:ind w:right="47"/>
              <w:jc w:val="right"/>
              <w:rPr>
                <w:sz w:val="18"/>
              </w:rPr>
            </w:pPr>
            <w:r>
              <w:rPr>
                <w:spacing w:val="-2"/>
                <w:sz w:val="18"/>
              </w:rPr>
              <w:t>(422)</w:t>
            </w:r>
          </w:p>
        </w:tc>
      </w:tr>
    </w:tbl>
    <w:p>
      <w:pPr>
        <w:tabs>
          <w:tab w:pos="8536" w:val="left" w:leader="none"/>
          <w:tab w:pos="10334" w:val="right" w:leader="none"/>
        </w:tabs>
        <w:spacing w:before="55"/>
        <w:ind w:left="219" w:right="0" w:firstLine="0"/>
        <w:jc w:val="both"/>
        <w:rPr>
          <w:sz w:val="18"/>
        </w:rPr>
      </w:pPr>
      <w:r>
        <w:rPr/>
        <mc:AlternateContent>
          <mc:Choice Requires="wps">
            <w:drawing>
              <wp:anchor distT="0" distB="0" distL="0" distR="0" allowOverlap="1" layoutInCell="1" locked="0" behindDoc="0" simplePos="0" relativeHeight="15749120">
                <wp:simplePos x="0" y="0"/>
                <wp:positionH relativeFrom="page">
                  <wp:posOffset>5304707</wp:posOffset>
                </wp:positionH>
                <wp:positionV relativeFrom="paragraph">
                  <wp:posOffset>152383</wp:posOffset>
                </wp:positionV>
                <wp:extent cx="1746885" cy="3175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746885" cy="31750"/>
                          <a:chExt cx="1746885" cy="31750"/>
                        </a:xfrm>
                      </wpg:grpSpPr>
                      <wps:wsp>
                        <wps:cNvPr id="88" name="Graphic 88"/>
                        <wps:cNvSpPr/>
                        <wps:spPr>
                          <a:xfrm>
                            <a:off x="12528" y="4715"/>
                            <a:ext cx="1689735" cy="7620"/>
                          </a:xfrm>
                          <a:custGeom>
                            <a:avLst/>
                            <a:gdLst/>
                            <a:ahLst/>
                            <a:cxnLst/>
                            <a:rect l="l" t="t" r="r" b="b"/>
                            <a:pathLst>
                              <a:path w="1689735" h="7620">
                                <a:moveTo>
                                  <a:pt x="1093470" y="0"/>
                                </a:moveTo>
                                <a:lnTo>
                                  <a:pt x="0" y="0"/>
                                </a:lnTo>
                                <a:lnTo>
                                  <a:pt x="0" y="7620"/>
                                </a:lnTo>
                                <a:lnTo>
                                  <a:pt x="1093470" y="7620"/>
                                </a:lnTo>
                                <a:lnTo>
                                  <a:pt x="1093470" y="0"/>
                                </a:lnTo>
                                <a:close/>
                              </a:path>
                              <a:path w="1689735" h="7620">
                                <a:moveTo>
                                  <a:pt x="1689341" y="0"/>
                                </a:moveTo>
                                <a:lnTo>
                                  <a:pt x="1428750" y="0"/>
                                </a:lnTo>
                                <a:lnTo>
                                  <a:pt x="1428750" y="7620"/>
                                </a:lnTo>
                                <a:lnTo>
                                  <a:pt x="1689341" y="7620"/>
                                </a:lnTo>
                                <a:lnTo>
                                  <a:pt x="1689341"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12700" y="12700"/>
                            <a:ext cx="1721485" cy="6350"/>
                          </a:xfrm>
                          <a:custGeom>
                            <a:avLst/>
                            <a:gdLst/>
                            <a:ahLst/>
                            <a:cxnLst/>
                            <a:rect l="l" t="t" r="r" b="b"/>
                            <a:pathLst>
                              <a:path w="1721485" h="6350">
                                <a:moveTo>
                                  <a:pt x="0" y="6117"/>
                                </a:moveTo>
                                <a:lnTo>
                                  <a:pt x="1720895"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693512pt;margin-top:11.9987pt;width:137.550pt;height:2.5pt;mso-position-horizontal-relative:page;mso-position-vertical-relative:paragraph;z-index:15749120" id="docshapegroup69" coordorigin="8354,240" coordsize="2751,50">
                <v:shape style="position:absolute;left:8373;top:247;width:2661;height:12" id="docshape70" coordorigin="8374,247" coordsize="2661,12" path="m10096,247l8374,247,8374,259,10096,259,10096,247xm11034,247l10624,247,10624,259,11034,259,11034,247xe" filled="true" fillcolor="#000000" stroked="false">
                  <v:path arrowok="t"/>
                  <v:fill type="solid"/>
                </v:shape>
                <v:line style="position:absolute" from="8374,270" to="11084,260" stroked="true" strokeweight="2pt" strokecolor="#000000">
                  <v:stroke dashstyle="solid"/>
                </v:line>
                <w10:wrap type="none"/>
              </v:group>
            </w:pict>
          </mc:Fallback>
        </mc:AlternateContent>
      </w:r>
      <w:r>
        <w:rPr>
          <w:sz w:val="18"/>
        </w:rPr>
        <w:t>Materiais</w:t>
      </w:r>
      <w:r>
        <w:rPr>
          <w:spacing w:val="-5"/>
          <w:sz w:val="18"/>
        </w:rPr>
        <w:t> </w:t>
      </w:r>
      <w:r>
        <w:rPr>
          <w:sz w:val="18"/>
        </w:rPr>
        <w:t>e</w:t>
      </w:r>
      <w:r>
        <w:rPr>
          <w:spacing w:val="-3"/>
          <w:sz w:val="18"/>
        </w:rPr>
        <w:t> </w:t>
      </w:r>
      <w:r>
        <w:rPr>
          <w:sz w:val="18"/>
        </w:rPr>
        <w:t>suprimentos</w:t>
      </w:r>
      <w:r>
        <w:rPr>
          <w:spacing w:val="-2"/>
          <w:sz w:val="18"/>
        </w:rPr>
        <w:t> </w:t>
      </w:r>
      <w:r>
        <w:rPr>
          <w:spacing w:val="-4"/>
          <w:sz w:val="18"/>
        </w:rPr>
        <w:t>(ii)</w:t>
      </w:r>
      <w:r>
        <w:rPr>
          <w:sz w:val="18"/>
        </w:rPr>
        <w:tab/>
      </w:r>
      <w:r>
        <w:rPr>
          <w:spacing w:val="-2"/>
          <w:sz w:val="18"/>
        </w:rPr>
        <w:t>8.121</w:t>
      </w:r>
      <w:r>
        <w:rPr>
          <w:rFonts w:ascii="Times New Roman"/>
          <w:sz w:val="18"/>
        </w:rPr>
        <w:tab/>
      </w:r>
      <w:r>
        <w:rPr>
          <w:spacing w:val="-2"/>
          <w:sz w:val="18"/>
        </w:rPr>
        <w:t>8.666</w:t>
      </w:r>
    </w:p>
    <w:p>
      <w:pPr>
        <w:tabs>
          <w:tab w:pos="9858" w:val="left" w:leader="none"/>
        </w:tabs>
        <w:spacing w:before="49"/>
        <w:ind w:left="8524" w:right="0" w:firstLine="0"/>
        <w:jc w:val="left"/>
        <w:rPr>
          <w:b/>
          <w:sz w:val="18"/>
        </w:rPr>
      </w:pPr>
      <w:r>
        <w:rPr>
          <w:b/>
          <w:spacing w:val="-2"/>
          <w:sz w:val="18"/>
        </w:rPr>
        <w:t>8.121</w:t>
      </w:r>
      <w:r>
        <w:rPr>
          <w:b/>
          <w:sz w:val="18"/>
        </w:rPr>
        <w:tab/>
      </w:r>
      <w:r>
        <w:rPr>
          <w:b/>
          <w:spacing w:val="-2"/>
          <w:sz w:val="18"/>
        </w:rPr>
        <w:t>8.666</w:t>
      </w:r>
    </w:p>
    <w:p>
      <w:pPr>
        <w:pStyle w:val="BodyText"/>
        <w:spacing w:line="54" w:lineRule="exact"/>
        <w:ind w:left="7626"/>
        <w:rPr>
          <w:sz w:val="5"/>
        </w:rPr>
      </w:pPr>
      <w:r>
        <w:rPr>
          <w:position w:val="0"/>
          <w:sz w:val="5"/>
        </w:rPr>
        <mc:AlternateContent>
          <mc:Choice Requires="wps">
            <w:drawing>
              <wp:inline distT="0" distB="0" distL="0" distR="0">
                <wp:extent cx="1696720" cy="33655"/>
                <wp:effectExtent l="19050" t="0" r="8255" b="4445"/>
                <wp:docPr id="90" name="Group 90"/>
                <wp:cNvGraphicFramePr>
                  <a:graphicFrameLocks/>
                </wp:cNvGraphicFramePr>
                <a:graphic>
                  <a:graphicData uri="http://schemas.microsoft.com/office/word/2010/wordprocessingGroup">
                    <wpg:wgp>
                      <wpg:cNvPr id="90" name="Group 90"/>
                      <wpg:cNvGrpSpPr/>
                      <wpg:grpSpPr>
                        <a:xfrm>
                          <a:off x="0" y="0"/>
                          <a:ext cx="1696720" cy="33655"/>
                          <a:chExt cx="1696720" cy="33655"/>
                        </a:xfrm>
                      </wpg:grpSpPr>
                      <wps:wsp>
                        <wps:cNvPr id="91" name="Graphic 91"/>
                        <wps:cNvSpPr/>
                        <wps:spPr>
                          <a:xfrm>
                            <a:off x="0" y="16764"/>
                            <a:ext cx="847725" cy="1270"/>
                          </a:xfrm>
                          <a:custGeom>
                            <a:avLst/>
                            <a:gdLst/>
                            <a:ahLst/>
                            <a:cxnLst/>
                            <a:rect l="l" t="t" r="r" b="b"/>
                            <a:pathLst>
                              <a:path w="847725" h="0">
                                <a:moveTo>
                                  <a:pt x="0" y="0"/>
                                </a:moveTo>
                                <a:lnTo>
                                  <a:pt x="847344" y="0"/>
                                </a:lnTo>
                              </a:path>
                            </a:pathLst>
                          </a:custGeom>
                          <a:ln w="33528">
                            <a:solidFill>
                              <a:srgbClr val="000000"/>
                            </a:solidFill>
                            <a:prstDash val="solid"/>
                          </a:ln>
                        </wps:spPr>
                        <wps:bodyPr wrap="square" lIns="0" tIns="0" rIns="0" bIns="0" rtlCol="0">
                          <a:prstTxWarp prst="textNoShape">
                            <a:avLst/>
                          </a:prstTxWarp>
                          <a:noAutofit/>
                        </wps:bodyPr>
                      </wps:wsp>
                      <wps:wsp>
                        <wps:cNvPr id="92" name="Graphic 92"/>
                        <wps:cNvSpPr/>
                        <wps:spPr>
                          <a:xfrm>
                            <a:off x="847344" y="0"/>
                            <a:ext cx="34290" cy="33655"/>
                          </a:xfrm>
                          <a:custGeom>
                            <a:avLst/>
                            <a:gdLst/>
                            <a:ahLst/>
                            <a:cxnLst/>
                            <a:rect l="l" t="t" r="r" b="b"/>
                            <a:pathLst>
                              <a:path w="34290" h="33655">
                                <a:moveTo>
                                  <a:pt x="34289" y="0"/>
                                </a:moveTo>
                                <a:lnTo>
                                  <a:pt x="0" y="0"/>
                                </a:lnTo>
                                <a:lnTo>
                                  <a:pt x="0" y="33527"/>
                                </a:lnTo>
                                <a:lnTo>
                                  <a:pt x="34289" y="33527"/>
                                </a:lnTo>
                                <a:lnTo>
                                  <a:pt x="34289"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880872" y="16764"/>
                            <a:ext cx="815340" cy="1270"/>
                          </a:xfrm>
                          <a:custGeom>
                            <a:avLst/>
                            <a:gdLst/>
                            <a:ahLst/>
                            <a:cxnLst/>
                            <a:rect l="l" t="t" r="r" b="b"/>
                            <a:pathLst>
                              <a:path w="815340" h="0">
                                <a:moveTo>
                                  <a:pt x="0" y="0"/>
                                </a:moveTo>
                                <a:lnTo>
                                  <a:pt x="815340" y="0"/>
                                </a:lnTo>
                              </a:path>
                            </a:pathLst>
                          </a:custGeom>
                          <a:ln w="3352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3.6pt;height:2.65pt;mso-position-horizontal-relative:char;mso-position-vertical-relative:line" id="docshapegroup71" coordorigin="0,0" coordsize="2672,53">
                <v:line style="position:absolute" from="0,26" to="1334,26" stroked="true" strokeweight="2.64pt" strokecolor="#000000">
                  <v:stroke dashstyle="solid"/>
                </v:line>
                <v:rect style="position:absolute;left:1334;top:0;width:54;height:53" id="docshape72" filled="true" fillcolor="#000000" stroked="false">
                  <v:fill type="solid"/>
                </v:rect>
                <v:line style="position:absolute" from="1387,26" to="2671,26" stroked="true" strokeweight="2.64pt" strokecolor="#000000">
                  <v:stroke dashstyle="solid"/>
                </v:line>
              </v:group>
            </w:pict>
          </mc:Fallback>
        </mc:AlternateContent>
      </w:r>
      <w:r>
        <w:rPr>
          <w:position w:val="0"/>
          <w:sz w:val="5"/>
        </w:rPr>
      </w:r>
    </w:p>
    <w:p>
      <w:pPr>
        <w:pStyle w:val="BodyText"/>
        <w:rPr>
          <w:b/>
          <w:sz w:val="18"/>
        </w:rPr>
      </w:pPr>
    </w:p>
    <w:p>
      <w:pPr>
        <w:pStyle w:val="BodyText"/>
        <w:spacing w:before="82"/>
        <w:rPr>
          <w:b/>
          <w:sz w:val="18"/>
        </w:rPr>
      </w:pPr>
    </w:p>
    <w:p>
      <w:pPr>
        <w:pStyle w:val="ListParagraph"/>
        <w:numPr>
          <w:ilvl w:val="0"/>
          <w:numId w:val="10"/>
        </w:numPr>
        <w:tabs>
          <w:tab w:pos="1231" w:val="left" w:leader="none"/>
        </w:tabs>
        <w:spacing w:line="240" w:lineRule="auto" w:before="0" w:after="0"/>
        <w:ind w:left="1231" w:right="355" w:hanging="722"/>
        <w:jc w:val="both"/>
        <w:rPr>
          <w:sz w:val="22"/>
        </w:rPr>
      </w:pPr>
      <w:r>
        <w:rPr>
          <w:sz w:val="22"/>
        </w:rPr>
        <w:t>Em 31 de dezembro de 2022 e 31 de dezembro de 2021, a Companhia avaliou os seus estoques e decidiu</w:t>
      </w:r>
      <w:r>
        <w:rPr>
          <w:spacing w:val="-6"/>
          <w:sz w:val="22"/>
        </w:rPr>
        <w:t> </w:t>
      </w:r>
      <w:r>
        <w:rPr>
          <w:sz w:val="22"/>
        </w:rPr>
        <w:t>pela</w:t>
      </w:r>
      <w:r>
        <w:rPr>
          <w:spacing w:val="-7"/>
          <w:sz w:val="22"/>
        </w:rPr>
        <w:t> </w:t>
      </w:r>
      <w:r>
        <w:rPr>
          <w:sz w:val="22"/>
        </w:rPr>
        <w:t>constituição da</w:t>
      </w:r>
      <w:r>
        <w:rPr>
          <w:spacing w:val="-5"/>
          <w:sz w:val="22"/>
        </w:rPr>
        <w:t> </w:t>
      </w:r>
      <w:r>
        <w:rPr>
          <w:sz w:val="22"/>
        </w:rPr>
        <w:t>provisão</w:t>
      </w:r>
      <w:r>
        <w:rPr>
          <w:spacing w:val="-3"/>
          <w:sz w:val="22"/>
        </w:rPr>
        <w:t> </w:t>
      </w:r>
      <w:r>
        <w:rPr>
          <w:sz w:val="22"/>
        </w:rPr>
        <w:t>para</w:t>
      </w:r>
      <w:r>
        <w:rPr>
          <w:spacing w:val="-8"/>
          <w:sz w:val="22"/>
        </w:rPr>
        <w:t> </w:t>
      </w:r>
      <w:r>
        <w:rPr>
          <w:sz w:val="22"/>
        </w:rPr>
        <w:t>perdas</w:t>
      </w:r>
      <w:r>
        <w:rPr>
          <w:spacing w:val="-4"/>
          <w:sz w:val="22"/>
        </w:rPr>
        <w:t> </w:t>
      </w:r>
      <w:r>
        <w:rPr>
          <w:sz w:val="22"/>
        </w:rPr>
        <w:t>na</w:t>
      </w:r>
      <w:r>
        <w:rPr>
          <w:spacing w:val="-6"/>
          <w:sz w:val="22"/>
        </w:rPr>
        <w:t> </w:t>
      </w:r>
      <w:r>
        <w:rPr>
          <w:sz w:val="22"/>
        </w:rPr>
        <w:t>realização</w:t>
      </w:r>
      <w:r>
        <w:rPr>
          <w:spacing w:val="-6"/>
          <w:sz w:val="22"/>
        </w:rPr>
        <w:t> </w:t>
      </w:r>
      <w:r>
        <w:rPr>
          <w:sz w:val="22"/>
        </w:rPr>
        <w:t>de</w:t>
      </w:r>
      <w:r>
        <w:rPr>
          <w:spacing w:val="-5"/>
          <w:sz w:val="22"/>
        </w:rPr>
        <w:t> </w:t>
      </w:r>
      <w:r>
        <w:rPr>
          <w:sz w:val="22"/>
        </w:rPr>
        <w:t>estoque</w:t>
      </w:r>
      <w:r>
        <w:rPr>
          <w:spacing w:val="-7"/>
          <w:sz w:val="22"/>
        </w:rPr>
        <w:t> </w:t>
      </w:r>
      <w:r>
        <w:rPr>
          <w:sz w:val="22"/>
        </w:rPr>
        <w:t>de</w:t>
      </w:r>
      <w:r>
        <w:rPr>
          <w:spacing w:val="-4"/>
          <w:sz w:val="22"/>
        </w:rPr>
        <w:t> </w:t>
      </w:r>
      <w:r>
        <w:rPr>
          <w:sz w:val="22"/>
        </w:rPr>
        <w:t>produtos</w:t>
      </w:r>
      <w:r>
        <w:rPr>
          <w:spacing w:val="-7"/>
          <w:sz w:val="22"/>
        </w:rPr>
        <w:t> </w:t>
      </w:r>
      <w:r>
        <w:rPr>
          <w:sz w:val="22"/>
        </w:rPr>
        <w:t>acabados</w:t>
      </w:r>
      <w:r>
        <w:rPr>
          <w:spacing w:val="-5"/>
          <w:sz w:val="22"/>
        </w:rPr>
        <w:t> </w:t>
      </w:r>
      <w:r>
        <w:rPr>
          <w:sz w:val="22"/>
        </w:rPr>
        <w:t>uma vez</w:t>
      </w:r>
      <w:r>
        <w:rPr>
          <w:spacing w:val="-1"/>
          <w:sz w:val="22"/>
        </w:rPr>
        <w:t> </w:t>
      </w:r>
      <w:r>
        <w:rPr>
          <w:sz w:val="22"/>
        </w:rPr>
        <w:t>que</w:t>
      </w:r>
      <w:r>
        <w:rPr>
          <w:spacing w:val="-4"/>
          <w:sz w:val="22"/>
        </w:rPr>
        <w:t> </w:t>
      </w:r>
      <w:r>
        <w:rPr>
          <w:sz w:val="22"/>
        </w:rPr>
        <w:t>o seu</w:t>
      </w:r>
      <w:r>
        <w:rPr>
          <w:spacing w:val="-1"/>
          <w:sz w:val="22"/>
        </w:rPr>
        <w:t> </w:t>
      </w:r>
      <w:r>
        <w:rPr>
          <w:sz w:val="22"/>
        </w:rPr>
        <w:t>custo</w:t>
      </w:r>
      <w:r>
        <w:rPr>
          <w:spacing w:val="-2"/>
          <w:sz w:val="22"/>
        </w:rPr>
        <w:t> </w:t>
      </w:r>
      <w:r>
        <w:rPr>
          <w:sz w:val="22"/>
        </w:rPr>
        <w:t>foi</w:t>
      </w:r>
      <w:r>
        <w:rPr>
          <w:spacing w:val="-3"/>
          <w:sz w:val="22"/>
        </w:rPr>
        <w:t> </w:t>
      </w:r>
      <w:r>
        <w:rPr>
          <w:sz w:val="22"/>
        </w:rPr>
        <w:t>superior</w:t>
      </w:r>
      <w:r>
        <w:rPr>
          <w:spacing w:val="-5"/>
          <w:sz w:val="22"/>
        </w:rPr>
        <w:t> </w:t>
      </w:r>
      <w:r>
        <w:rPr>
          <w:sz w:val="22"/>
        </w:rPr>
        <w:t>ao</w:t>
      </w:r>
      <w:r>
        <w:rPr>
          <w:spacing w:val="-4"/>
          <w:sz w:val="22"/>
        </w:rPr>
        <w:t> </w:t>
      </w:r>
      <w:r>
        <w:rPr>
          <w:sz w:val="22"/>
        </w:rPr>
        <w:t>valor</w:t>
      </w:r>
      <w:r>
        <w:rPr>
          <w:spacing w:val="-3"/>
          <w:sz w:val="22"/>
        </w:rPr>
        <w:t> </w:t>
      </w:r>
      <w:r>
        <w:rPr>
          <w:sz w:val="22"/>
        </w:rPr>
        <w:t>de</w:t>
      </w:r>
      <w:r>
        <w:rPr>
          <w:spacing w:val="-3"/>
          <w:sz w:val="22"/>
        </w:rPr>
        <w:t> </w:t>
      </w:r>
      <w:r>
        <w:rPr>
          <w:sz w:val="22"/>
        </w:rPr>
        <w:t>venda,</w:t>
      </w:r>
      <w:r>
        <w:rPr>
          <w:spacing w:val="-4"/>
          <w:sz w:val="22"/>
        </w:rPr>
        <w:t> </w:t>
      </w:r>
      <w:r>
        <w:rPr>
          <w:sz w:val="22"/>
        </w:rPr>
        <w:t>deduzidos</w:t>
      </w:r>
      <w:r>
        <w:rPr>
          <w:spacing w:val="-1"/>
          <w:sz w:val="22"/>
        </w:rPr>
        <w:t> </w:t>
      </w:r>
      <w:r>
        <w:rPr>
          <w:sz w:val="22"/>
        </w:rPr>
        <w:t>os</w:t>
      </w:r>
      <w:r>
        <w:rPr>
          <w:spacing w:val="-4"/>
          <w:sz w:val="22"/>
        </w:rPr>
        <w:t> </w:t>
      </w:r>
      <w:r>
        <w:rPr>
          <w:sz w:val="22"/>
        </w:rPr>
        <w:t>custos</w:t>
      </w:r>
      <w:r>
        <w:rPr>
          <w:spacing w:val="-3"/>
          <w:sz w:val="22"/>
        </w:rPr>
        <w:t> </w:t>
      </w:r>
      <w:r>
        <w:rPr>
          <w:sz w:val="22"/>
        </w:rPr>
        <w:t>de</w:t>
      </w:r>
      <w:r>
        <w:rPr>
          <w:spacing w:val="-3"/>
          <w:sz w:val="22"/>
        </w:rPr>
        <w:t> </w:t>
      </w:r>
      <w:r>
        <w:rPr>
          <w:sz w:val="22"/>
        </w:rPr>
        <w:t>comercialização</w:t>
      </w:r>
      <w:r>
        <w:rPr>
          <w:spacing w:val="-2"/>
          <w:sz w:val="22"/>
        </w:rPr>
        <w:t> </w:t>
      </w:r>
      <w:r>
        <w:rPr>
          <w:sz w:val="22"/>
        </w:rPr>
        <w:t>e impostos sobre venda.</w:t>
      </w:r>
    </w:p>
    <w:p>
      <w:pPr>
        <w:pStyle w:val="ListParagraph"/>
        <w:numPr>
          <w:ilvl w:val="0"/>
          <w:numId w:val="10"/>
        </w:numPr>
        <w:tabs>
          <w:tab w:pos="1228" w:val="left" w:leader="none"/>
          <w:tab w:pos="1232" w:val="left" w:leader="none"/>
        </w:tabs>
        <w:spacing w:line="240" w:lineRule="auto" w:before="241" w:after="0"/>
        <w:ind w:left="1232" w:right="355" w:hanging="722"/>
        <w:jc w:val="both"/>
        <w:rPr>
          <w:sz w:val="22"/>
        </w:rPr>
      </w:pPr>
      <w:r>
        <w:rPr>
          <w:sz w:val="22"/>
        </w:rPr>
        <w:t>Materiais e suprimentos, foi constituído um comitê de licitação e foram lançados dois leilões, publicados</w:t>
      </w:r>
      <w:r>
        <w:rPr>
          <w:spacing w:val="-4"/>
          <w:sz w:val="22"/>
        </w:rPr>
        <w:t> </w:t>
      </w:r>
      <w:r>
        <w:rPr>
          <w:sz w:val="22"/>
        </w:rPr>
        <w:t>no</w:t>
      </w:r>
      <w:r>
        <w:rPr>
          <w:spacing w:val="-8"/>
          <w:sz w:val="22"/>
        </w:rPr>
        <w:t> </w:t>
      </w:r>
      <w:r>
        <w:rPr>
          <w:sz w:val="22"/>
        </w:rPr>
        <w:t>Diário</w:t>
      </w:r>
      <w:r>
        <w:rPr>
          <w:spacing w:val="-4"/>
          <w:sz w:val="22"/>
        </w:rPr>
        <w:t> </w:t>
      </w:r>
      <w:r>
        <w:rPr>
          <w:sz w:val="22"/>
        </w:rPr>
        <w:t>Oficial</w:t>
      </w:r>
      <w:r>
        <w:rPr>
          <w:spacing w:val="-7"/>
          <w:sz w:val="22"/>
        </w:rPr>
        <w:t> </w:t>
      </w:r>
      <w:r>
        <w:rPr>
          <w:sz w:val="22"/>
        </w:rPr>
        <w:t>da</w:t>
      </w:r>
      <w:r>
        <w:rPr>
          <w:spacing w:val="-4"/>
          <w:sz w:val="22"/>
        </w:rPr>
        <w:t> </w:t>
      </w:r>
      <w:r>
        <w:rPr>
          <w:sz w:val="22"/>
        </w:rPr>
        <w:t>União</w:t>
      </w:r>
      <w:r>
        <w:rPr>
          <w:spacing w:val="-5"/>
          <w:sz w:val="22"/>
        </w:rPr>
        <w:t> </w:t>
      </w:r>
      <w:r>
        <w:rPr>
          <w:sz w:val="22"/>
        </w:rPr>
        <w:t>–</w:t>
      </w:r>
      <w:r>
        <w:rPr>
          <w:spacing w:val="-4"/>
          <w:sz w:val="22"/>
        </w:rPr>
        <w:t> </w:t>
      </w:r>
      <w:r>
        <w:rPr>
          <w:sz w:val="22"/>
        </w:rPr>
        <w:t>“DOU”</w:t>
      </w:r>
      <w:r>
        <w:rPr>
          <w:spacing w:val="-4"/>
          <w:sz w:val="22"/>
        </w:rPr>
        <w:t> </w:t>
      </w:r>
      <w:r>
        <w:rPr>
          <w:sz w:val="22"/>
        </w:rPr>
        <w:t>em</w:t>
      </w:r>
      <w:r>
        <w:rPr>
          <w:spacing w:val="-6"/>
          <w:sz w:val="22"/>
        </w:rPr>
        <w:t> </w:t>
      </w:r>
      <w:r>
        <w:rPr>
          <w:sz w:val="22"/>
        </w:rPr>
        <w:t>13</w:t>
      </w:r>
      <w:r>
        <w:rPr>
          <w:spacing w:val="-3"/>
          <w:sz w:val="22"/>
        </w:rPr>
        <w:t> </w:t>
      </w:r>
      <w:r>
        <w:rPr>
          <w:sz w:val="22"/>
        </w:rPr>
        <w:t>de</w:t>
      </w:r>
      <w:r>
        <w:rPr>
          <w:spacing w:val="-3"/>
          <w:sz w:val="22"/>
        </w:rPr>
        <w:t> </w:t>
      </w:r>
      <w:r>
        <w:rPr>
          <w:sz w:val="22"/>
        </w:rPr>
        <w:t>agosto</w:t>
      </w:r>
      <w:r>
        <w:rPr>
          <w:spacing w:val="-3"/>
          <w:sz w:val="22"/>
        </w:rPr>
        <w:t> </w:t>
      </w:r>
      <w:r>
        <w:rPr>
          <w:sz w:val="22"/>
        </w:rPr>
        <w:t>de</w:t>
      </w:r>
      <w:r>
        <w:rPr>
          <w:spacing w:val="-4"/>
          <w:sz w:val="22"/>
        </w:rPr>
        <w:t> </w:t>
      </w:r>
      <w:r>
        <w:rPr>
          <w:sz w:val="22"/>
        </w:rPr>
        <w:t>2020</w:t>
      </w:r>
      <w:r>
        <w:rPr>
          <w:spacing w:val="-6"/>
          <w:sz w:val="22"/>
        </w:rPr>
        <w:t> </w:t>
      </w:r>
      <w:r>
        <w:rPr>
          <w:sz w:val="22"/>
        </w:rPr>
        <w:t>e</w:t>
      </w:r>
      <w:r>
        <w:rPr>
          <w:spacing w:val="-5"/>
          <w:sz w:val="22"/>
        </w:rPr>
        <w:t> </w:t>
      </w:r>
      <w:r>
        <w:rPr>
          <w:sz w:val="22"/>
        </w:rPr>
        <w:t>24</w:t>
      </w:r>
      <w:r>
        <w:rPr>
          <w:spacing w:val="-4"/>
          <w:sz w:val="22"/>
        </w:rPr>
        <w:t> </w:t>
      </w:r>
      <w:r>
        <w:rPr>
          <w:sz w:val="22"/>
        </w:rPr>
        <w:t>de</w:t>
      </w:r>
      <w:r>
        <w:rPr>
          <w:spacing w:val="-4"/>
          <w:sz w:val="22"/>
        </w:rPr>
        <w:t> </w:t>
      </w:r>
      <w:r>
        <w:rPr>
          <w:sz w:val="22"/>
        </w:rPr>
        <w:t>agosto</w:t>
      </w:r>
      <w:r>
        <w:rPr>
          <w:spacing w:val="-3"/>
          <w:sz w:val="22"/>
        </w:rPr>
        <w:t> </w:t>
      </w:r>
      <w:r>
        <w:rPr>
          <w:sz w:val="22"/>
        </w:rPr>
        <w:t>de</w:t>
      </w:r>
      <w:r>
        <w:rPr>
          <w:spacing w:val="-6"/>
          <w:sz w:val="22"/>
        </w:rPr>
        <w:t> </w:t>
      </w:r>
      <w:r>
        <w:rPr>
          <w:sz w:val="22"/>
        </w:rPr>
        <w:t>2020,</w:t>
      </w:r>
      <w:r>
        <w:rPr>
          <w:spacing w:val="-7"/>
          <w:sz w:val="22"/>
        </w:rPr>
        <w:t> </w:t>
      </w:r>
      <w:r>
        <w:rPr>
          <w:sz w:val="22"/>
        </w:rPr>
        <w:t>sendo mantidas</w:t>
      </w:r>
      <w:r>
        <w:rPr>
          <w:spacing w:val="-12"/>
          <w:sz w:val="22"/>
        </w:rPr>
        <w:t> </w:t>
      </w:r>
      <w:r>
        <w:rPr>
          <w:sz w:val="22"/>
        </w:rPr>
        <w:t>ações</w:t>
      </w:r>
      <w:r>
        <w:rPr>
          <w:spacing w:val="-10"/>
          <w:sz w:val="22"/>
        </w:rPr>
        <w:t> </w:t>
      </w:r>
      <w:r>
        <w:rPr>
          <w:sz w:val="22"/>
        </w:rPr>
        <w:t>visando</w:t>
      </w:r>
      <w:r>
        <w:rPr>
          <w:spacing w:val="-9"/>
          <w:sz w:val="22"/>
        </w:rPr>
        <w:t> </w:t>
      </w:r>
      <w:r>
        <w:rPr>
          <w:sz w:val="22"/>
        </w:rPr>
        <w:t>a</w:t>
      </w:r>
      <w:r>
        <w:rPr>
          <w:spacing w:val="-12"/>
          <w:sz w:val="22"/>
        </w:rPr>
        <w:t> </w:t>
      </w:r>
      <w:r>
        <w:rPr>
          <w:sz w:val="22"/>
        </w:rPr>
        <w:t>alienação</w:t>
      </w:r>
      <w:r>
        <w:rPr>
          <w:spacing w:val="-12"/>
          <w:sz w:val="22"/>
        </w:rPr>
        <w:t> </w:t>
      </w:r>
      <w:r>
        <w:rPr>
          <w:sz w:val="22"/>
        </w:rPr>
        <w:t>e/ou</w:t>
      </w:r>
      <w:r>
        <w:rPr>
          <w:spacing w:val="-10"/>
          <w:sz w:val="22"/>
        </w:rPr>
        <w:t> </w:t>
      </w:r>
      <w:r>
        <w:rPr>
          <w:sz w:val="22"/>
        </w:rPr>
        <w:t>realização</w:t>
      </w:r>
      <w:r>
        <w:rPr>
          <w:spacing w:val="-12"/>
          <w:sz w:val="22"/>
        </w:rPr>
        <w:t> </w:t>
      </w:r>
      <w:r>
        <w:rPr>
          <w:sz w:val="22"/>
        </w:rPr>
        <w:t>de</w:t>
      </w:r>
      <w:r>
        <w:rPr>
          <w:spacing w:val="-12"/>
          <w:sz w:val="22"/>
        </w:rPr>
        <w:t> </w:t>
      </w:r>
      <w:r>
        <w:rPr>
          <w:sz w:val="22"/>
        </w:rPr>
        <w:t>novo</w:t>
      </w:r>
      <w:r>
        <w:rPr>
          <w:spacing w:val="-9"/>
          <w:sz w:val="22"/>
        </w:rPr>
        <w:t> </w:t>
      </w:r>
      <w:r>
        <w:rPr>
          <w:sz w:val="22"/>
        </w:rPr>
        <w:t>leilão</w:t>
      </w:r>
      <w:r>
        <w:rPr>
          <w:spacing w:val="-9"/>
          <w:sz w:val="22"/>
        </w:rPr>
        <w:t> </w:t>
      </w:r>
      <w:r>
        <w:rPr>
          <w:sz w:val="22"/>
        </w:rPr>
        <w:t>desses</w:t>
      </w:r>
      <w:r>
        <w:rPr>
          <w:spacing w:val="-12"/>
          <w:sz w:val="22"/>
        </w:rPr>
        <w:t> </w:t>
      </w:r>
      <w:r>
        <w:rPr>
          <w:sz w:val="22"/>
        </w:rPr>
        <w:t>materiais.</w:t>
      </w:r>
      <w:r>
        <w:rPr>
          <w:spacing w:val="25"/>
          <w:sz w:val="22"/>
        </w:rPr>
        <w:t> </w:t>
      </w:r>
      <w:r>
        <w:rPr>
          <w:sz w:val="22"/>
        </w:rPr>
        <w:t>Em</w:t>
      </w:r>
      <w:r>
        <w:rPr>
          <w:spacing w:val="-12"/>
          <w:sz w:val="22"/>
        </w:rPr>
        <w:t> </w:t>
      </w:r>
      <w:r>
        <w:rPr>
          <w:sz w:val="22"/>
        </w:rPr>
        <w:t>2022,</w:t>
      </w:r>
      <w:r>
        <w:rPr>
          <w:spacing w:val="-10"/>
          <w:sz w:val="22"/>
        </w:rPr>
        <w:t> </w:t>
      </w:r>
      <w:r>
        <w:rPr>
          <w:sz w:val="22"/>
        </w:rPr>
        <w:t>as</w:t>
      </w:r>
      <w:r>
        <w:rPr>
          <w:spacing w:val="-11"/>
          <w:sz w:val="22"/>
        </w:rPr>
        <w:t> </w:t>
      </w:r>
      <w:r>
        <w:rPr>
          <w:sz w:val="22"/>
        </w:rPr>
        <w:t>baixas de materiais considerados inservíveis atingiram R$ 343 (R$ 3.208 em 2021) (nota</w:t>
      </w:r>
      <w:r>
        <w:rPr>
          <w:spacing w:val="-14"/>
          <w:sz w:val="22"/>
        </w:rPr>
        <w:t> </w:t>
      </w:r>
      <w:r>
        <w:rPr>
          <w:sz w:val="22"/>
        </w:rPr>
        <w:t>14).</w:t>
      </w:r>
    </w:p>
    <w:p>
      <w:pPr>
        <w:pStyle w:val="Heading5"/>
      </w:pPr>
      <w:r>
        <w:rPr/>
        <w:t>Prática</w:t>
      </w:r>
      <w:r>
        <w:rPr>
          <w:spacing w:val="-10"/>
        </w:rPr>
        <w:t> </w:t>
      </w:r>
      <w:r>
        <w:rPr>
          <w:spacing w:val="-2"/>
        </w:rPr>
        <w:t>contábil</w:t>
      </w:r>
    </w:p>
    <w:p>
      <w:pPr>
        <w:pStyle w:val="BodyText"/>
        <w:spacing w:before="240"/>
        <w:ind w:left="152" w:right="352" w:hanging="1"/>
        <w:jc w:val="both"/>
      </w:pPr>
      <w:r>
        <w:rPr/>
        <w:t>Os estoques são mensurados pelo seu custo médio ponderado de aquisição ou de produção e compreendem, principalmente, materiais e suprimentos para manutenção, e são ajustados ao seu valor de realização líquido, quando este for inferior ao seu valor contábil.</w:t>
      </w:r>
    </w:p>
    <w:p>
      <w:pPr>
        <w:pStyle w:val="BodyText"/>
        <w:spacing w:before="240"/>
        <w:ind w:left="151" w:right="357"/>
        <w:jc w:val="both"/>
      </w:pPr>
      <w:r>
        <w:rPr/>
        <w:t>Materiais, suprimentos e outros representam, principalmente, insumos de produção e materiais de operação que serão utilizados nas atividades da companhia e estão demonstrados ao custo médio de compra, quando este não excede ao custo de reposição.</w:t>
      </w:r>
    </w:p>
    <w:p>
      <w:pPr>
        <w:pStyle w:val="BodyText"/>
      </w:pPr>
    </w:p>
    <w:p>
      <w:pPr>
        <w:pStyle w:val="BodyText"/>
        <w:spacing w:before="211"/>
      </w:pPr>
    </w:p>
    <w:p>
      <w:pPr>
        <w:pStyle w:val="Heading3"/>
        <w:numPr>
          <w:ilvl w:val="0"/>
          <w:numId w:val="9"/>
        </w:numPr>
        <w:tabs>
          <w:tab w:pos="718" w:val="left" w:leader="none"/>
        </w:tabs>
        <w:spacing w:line="240" w:lineRule="auto" w:before="0" w:after="0"/>
        <w:ind w:left="718" w:right="0" w:hanging="568"/>
        <w:jc w:val="left"/>
      </w:pPr>
      <w:bookmarkStart w:name="_TOC_250009" w:id="16"/>
      <w:bookmarkEnd w:id="16"/>
      <w:r>
        <w:rPr>
          <w:spacing w:val="-2"/>
        </w:rPr>
        <w:t>Fornecedores</w:t>
      </w:r>
    </w:p>
    <w:p>
      <w:pPr>
        <w:pStyle w:val="BodyText"/>
        <w:spacing w:before="79"/>
        <w:rPr>
          <w:b/>
          <w:sz w:val="20"/>
        </w:rPr>
      </w:pPr>
    </w:p>
    <w:tbl>
      <w:tblPr>
        <w:tblW w:w="0" w:type="auto"/>
        <w:jc w:val="left"/>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1"/>
        <w:gridCol w:w="1785"/>
        <w:gridCol w:w="964"/>
      </w:tblGrid>
      <w:tr>
        <w:trPr>
          <w:trHeight w:val="150" w:hRule="atLeast"/>
        </w:trPr>
        <w:tc>
          <w:tcPr>
            <w:tcW w:w="7461" w:type="dxa"/>
          </w:tcPr>
          <w:p>
            <w:pPr>
              <w:pStyle w:val="TableParagraph"/>
              <w:rPr>
                <w:rFonts w:ascii="Times New Roman"/>
                <w:sz w:val="8"/>
              </w:rPr>
            </w:pPr>
          </w:p>
        </w:tc>
        <w:tc>
          <w:tcPr>
            <w:tcW w:w="1785" w:type="dxa"/>
            <w:tcBorders>
              <w:bottom w:val="single" w:sz="24" w:space="0" w:color="000000"/>
            </w:tcBorders>
          </w:tcPr>
          <w:p>
            <w:pPr>
              <w:pStyle w:val="TableParagraph"/>
              <w:spacing w:line="120" w:lineRule="exact"/>
              <w:ind w:right="461"/>
              <w:jc w:val="right"/>
              <w:rPr>
                <w:b/>
                <w:sz w:val="18"/>
              </w:rPr>
            </w:pPr>
            <w:r>
              <w:rPr>
                <w:b/>
                <w:spacing w:val="-4"/>
                <w:sz w:val="18"/>
              </w:rPr>
              <w:t>2022</w:t>
            </w:r>
          </w:p>
        </w:tc>
        <w:tc>
          <w:tcPr>
            <w:tcW w:w="964" w:type="dxa"/>
            <w:tcBorders>
              <w:bottom w:val="single" w:sz="24" w:space="0" w:color="000000"/>
            </w:tcBorders>
          </w:tcPr>
          <w:p>
            <w:pPr>
              <w:pStyle w:val="TableParagraph"/>
              <w:spacing w:line="120" w:lineRule="exact"/>
              <w:ind w:right="27"/>
              <w:jc w:val="right"/>
              <w:rPr>
                <w:b/>
                <w:sz w:val="18"/>
              </w:rPr>
            </w:pPr>
            <w:r>
              <w:rPr>
                <w:b/>
                <w:spacing w:val="-4"/>
                <w:sz w:val="18"/>
              </w:rPr>
              <w:t>2021</w:t>
            </w:r>
          </w:p>
        </w:tc>
      </w:tr>
      <w:tr>
        <w:trPr>
          <w:trHeight w:val="251" w:hRule="atLeast"/>
        </w:trPr>
        <w:tc>
          <w:tcPr>
            <w:tcW w:w="7461" w:type="dxa"/>
          </w:tcPr>
          <w:p>
            <w:pPr>
              <w:pStyle w:val="TableParagraph"/>
              <w:spacing w:line="218" w:lineRule="exact"/>
              <w:ind w:left="50"/>
              <w:rPr>
                <w:sz w:val="18"/>
              </w:rPr>
            </w:pPr>
            <w:r>
              <w:rPr>
                <w:sz w:val="18"/>
              </w:rPr>
              <w:t>Terceiros</w:t>
            </w:r>
            <w:r>
              <w:rPr>
                <w:spacing w:val="-4"/>
                <w:sz w:val="18"/>
              </w:rPr>
              <w:t> </w:t>
            </w:r>
            <w:r>
              <w:rPr>
                <w:sz w:val="18"/>
              </w:rPr>
              <w:t>no</w:t>
            </w:r>
            <w:r>
              <w:rPr>
                <w:spacing w:val="-4"/>
                <w:sz w:val="18"/>
              </w:rPr>
              <w:t> país</w:t>
            </w:r>
          </w:p>
        </w:tc>
        <w:tc>
          <w:tcPr>
            <w:tcW w:w="1785" w:type="dxa"/>
            <w:tcBorders>
              <w:top w:val="single" w:sz="24" w:space="0" w:color="000000"/>
            </w:tcBorders>
          </w:tcPr>
          <w:p>
            <w:pPr>
              <w:pStyle w:val="TableParagraph"/>
              <w:spacing w:before="8"/>
              <w:ind w:right="457"/>
              <w:jc w:val="right"/>
              <w:rPr>
                <w:sz w:val="18"/>
              </w:rPr>
            </w:pPr>
            <w:r>
              <w:rPr>
                <w:spacing w:val="-5"/>
                <w:sz w:val="18"/>
              </w:rPr>
              <w:t>788</w:t>
            </w:r>
          </w:p>
        </w:tc>
        <w:tc>
          <w:tcPr>
            <w:tcW w:w="964" w:type="dxa"/>
            <w:tcBorders>
              <w:top w:val="single" w:sz="24" w:space="0" w:color="000000"/>
            </w:tcBorders>
          </w:tcPr>
          <w:p>
            <w:pPr>
              <w:pStyle w:val="TableParagraph"/>
              <w:spacing w:before="8"/>
              <w:ind w:right="89"/>
              <w:jc w:val="right"/>
              <w:rPr>
                <w:sz w:val="18"/>
              </w:rPr>
            </w:pPr>
            <w:r>
              <w:rPr>
                <w:spacing w:val="-2"/>
                <w:sz w:val="18"/>
              </w:rPr>
              <w:t>1.933</w:t>
            </w:r>
          </w:p>
        </w:tc>
      </w:tr>
      <w:tr>
        <w:trPr>
          <w:trHeight w:val="187" w:hRule="atLeast"/>
        </w:trPr>
        <w:tc>
          <w:tcPr>
            <w:tcW w:w="7461" w:type="dxa"/>
          </w:tcPr>
          <w:p>
            <w:pPr>
              <w:pStyle w:val="TableParagraph"/>
              <w:spacing w:line="166" w:lineRule="exact" w:before="1"/>
              <w:ind w:left="50"/>
              <w:rPr>
                <w:sz w:val="18"/>
              </w:rPr>
            </w:pPr>
            <w:r>
              <w:rPr>
                <w:sz w:val="18"/>
              </w:rPr>
              <w:t>Partes</w:t>
            </w:r>
            <w:r>
              <w:rPr>
                <w:spacing w:val="-5"/>
                <w:sz w:val="18"/>
              </w:rPr>
              <w:t> </w:t>
            </w:r>
            <w:r>
              <w:rPr>
                <w:sz w:val="18"/>
              </w:rPr>
              <w:t>relacionadas</w:t>
            </w:r>
            <w:r>
              <w:rPr>
                <w:spacing w:val="-4"/>
                <w:sz w:val="18"/>
              </w:rPr>
              <w:t> </w:t>
            </w:r>
            <w:r>
              <w:rPr>
                <w:sz w:val="18"/>
              </w:rPr>
              <w:t>(Nota</w:t>
            </w:r>
            <w:r>
              <w:rPr>
                <w:spacing w:val="-4"/>
                <w:sz w:val="18"/>
              </w:rPr>
              <w:t> </w:t>
            </w:r>
            <w:r>
              <w:rPr>
                <w:spacing w:val="-5"/>
                <w:sz w:val="18"/>
              </w:rPr>
              <w:t>9)</w:t>
            </w:r>
          </w:p>
        </w:tc>
        <w:tc>
          <w:tcPr>
            <w:tcW w:w="1785" w:type="dxa"/>
            <w:tcBorders>
              <w:bottom w:val="single" w:sz="24" w:space="0" w:color="000000"/>
            </w:tcBorders>
          </w:tcPr>
          <w:p>
            <w:pPr>
              <w:pStyle w:val="TableParagraph"/>
              <w:spacing w:line="145" w:lineRule="exact" w:before="1"/>
              <w:ind w:right="461"/>
              <w:jc w:val="right"/>
              <w:rPr>
                <w:sz w:val="18"/>
              </w:rPr>
            </w:pPr>
            <w:r>
              <w:rPr>
                <w:spacing w:val="-5"/>
                <w:sz w:val="18"/>
              </w:rPr>
              <w:t>244</w:t>
            </w:r>
          </w:p>
        </w:tc>
        <w:tc>
          <w:tcPr>
            <w:tcW w:w="964" w:type="dxa"/>
            <w:tcBorders>
              <w:bottom w:val="single" w:sz="24" w:space="0" w:color="000000"/>
            </w:tcBorders>
          </w:tcPr>
          <w:p>
            <w:pPr>
              <w:pStyle w:val="TableParagraph"/>
              <w:spacing w:line="145" w:lineRule="exact" w:before="1"/>
              <w:ind w:right="27"/>
              <w:jc w:val="right"/>
              <w:rPr>
                <w:sz w:val="18"/>
              </w:rPr>
            </w:pPr>
            <w:r>
              <w:rPr>
                <w:spacing w:val="-10"/>
                <w:sz w:val="18"/>
              </w:rPr>
              <w:t>‐</w:t>
            </w:r>
          </w:p>
        </w:tc>
      </w:tr>
      <w:tr>
        <w:trPr>
          <w:trHeight w:val="325" w:hRule="atLeast"/>
        </w:trPr>
        <w:tc>
          <w:tcPr>
            <w:tcW w:w="7461" w:type="dxa"/>
          </w:tcPr>
          <w:p>
            <w:pPr>
              <w:pStyle w:val="TableParagraph"/>
              <w:rPr>
                <w:rFonts w:ascii="Times New Roman"/>
                <w:sz w:val="20"/>
              </w:rPr>
            </w:pPr>
          </w:p>
        </w:tc>
        <w:tc>
          <w:tcPr>
            <w:tcW w:w="1785" w:type="dxa"/>
            <w:tcBorders>
              <w:top w:val="single" w:sz="24" w:space="0" w:color="000000"/>
            </w:tcBorders>
          </w:tcPr>
          <w:p>
            <w:pPr>
              <w:pStyle w:val="TableParagraph"/>
              <w:spacing w:before="73"/>
              <w:ind w:right="457"/>
              <w:jc w:val="right"/>
              <w:rPr>
                <w:sz w:val="18"/>
              </w:rPr>
            </w:pPr>
            <w:r>
              <w:rPr/>
              <mc:AlternateContent>
                <mc:Choice Requires="wps">
                  <w:drawing>
                    <wp:anchor distT="0" distB="0" distL="0" distR="0" allowOverlap="1" layoutInCell="1" locked="0" behindDoc="1" simplePos="0" relativeHeight="485606400">
                      <wp:simplePos x="0" y="0"/>
                      <wp:positionH relativeFrom="column">
                        <wp:posOffset>5258</wp:posOffset>
                      </wp:positionH>
                      <wp:positionV relativeFrom="paragraph">
                        <wp:posOffset>186431</wp:posOffset>
                      </wp:positionV>
                      <wp:extent cx="1714500" cy="3365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714500" cy="33655"/>
                                <a:chExt cx="1714500" cy="33655"/>
                              </a:xfrm>
                            </wpg:grpSpPr>
                            <wps:wsp>
                              <wps:cNvPr id="95" name="Graphic 95"/>
                              <wps:cNvSpPr/>
                              <wps:spPr>
                                <a:xfrm>
                                  <a:off x="0" y="16764"/>
                                  <a:ext cx="868044" cy="1270"/>
                                </a:xfrm>
                                <a:custGeom>
                                  <a:avLst/>
                                  <a:gdLst/>
                                  <a:ahLst/>
                                  <a:cxnLst/>
                                  <a:rect l="l" t="t" r="r" b="b"/>
                                  <a:pathLst>
                                    <a:path w="868044" h="0">
                                      <a:moveTo>
                                        <a:pt x="0" y="0"/>
                                      </a:moveTo>
                                      <a:lnTo>
                                        <a:pt x="867918" y="0"/>
                                      </a:lnTo>
                                    </a:path>
                                  </a:pathLst>
                                </a:custGeom>
                                <a:ln w="33528">
                                  <a:solidFill>
                                    <a:srgbClr val="000000"/>
                                  </a:solidFill>
                                  <a:prstDash val="solid"/>
                                </a:ln>
                              </wps:spPr>
                              <wps:bodyPr wrap="square" lIns="0" tIns="0" rIns="0" bIns="0" rtlCol="0">
                                <a:prstTxWarp prst="textNoShape">
                                  <a:avLst/>
                                </a:prstTxWarp>
                                <a:noAutofit/>
                              </wps:bodyPr>
                            </wps:wsp>
                            <wps:wsp>
                              <wps:cNvPr id="96" name="Graphic 96"/>
                              <wps:cNvSpPr/>
                              <wps:spPr>
                                <a:xfrm>
                                  <a:off x="858011" y="0"/>
                                  <a:ext cx="34290" cy="33655"/>
                                </a:xfrm>
                                <a:custGeom>
                                  <a:avLst/>
                                  <a:gdLst/>
                                  <a:ahLst/>
                                  <a:cxnLst/>
                                  <a:rect l="l" t="t" r="r" b="b"/>
                                  <a:pathLst>
                                    <a:path w="34290" h="33655">
                                      <a:moveTo>
                                        <a:pt x="34289" y="0"/>
                                      </a:moveTo>
                                      <a:lnTo>
                                        <a:pt x="0" y="0"/>
                                      </a:lnTo>
                                      <a:lnTo>
                                        <a:pt x="0" y="33528"/>
                                      </a:lnTo>
                                      <a:lnTo>
                                        <a:pt x="34289" y="33528"/>
                                      </a:lnTo>
                                      <a:lnTo>
                                        <a:pt x="34289"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891539" y="16764"/>
                                  <a:ext cx="822960" cy="1270"/>
                                </a:xfrm>
                                <a:custGeom>
                                  <a:avLst/>
                                  <a:gdLst/>
                                  <a:ahLst/>
                                  <a:cxnLst/>
                                  <a:rect l="l" t="t" r="r" b="b"/>
                                  <a:pathLst>
                                    <a:path w="822960" h="0">
                                      <a:moveTo>
                                        <a:pt x="0" y="0"/>
                                      </a:moveTo>
                                      <a:lnTo>
                                        <a:pt x="822960" y="0"/>
                                      </a:lnTo>
                                    </a:path>
                                  </a:pathLst>
                                </a:custGeom>
                                <a:ln w="335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405pt;margin-top:14.679639pt;width:135pt;height:2.65pt;mso-position-horizontal-relative:column;mso-position-vertical-relative:paragraph;z-index:-17710080" id="docshapegroup73" coordorigin="8,294" coordsize="2700,53">
                      <v:line style="position:absolute" from="8,320" to="1375,320" stroked="true" strokeweight="2.64pt" strokecolor="#000000">
                        <v:stroke dashstyle="solid"/>
                      </v:line>
                      <v:rect style="position:absolute;left:1359;top:293;width:54;height:53" id="docshape74" filled="true" fillcolor="#000000" stroked="false">
                        <v:fill type="solid"/>
                      </v:rect>
                      <v:line style="position:absolute" from="1412,320" to="2708,320" stroked="true" strokeweight="2.64pt" strokecolor="#000000">
                        <v:stroke dashstyle="solid"/>
                      </v:line>
                      <w10:wrap type="none"/>
                    </v:group>
                  </w:pict>
                </mc:Fallback>
              </mc:AlternateContent>
            </w:r>
            <w:r>
              <w:rPr>
                <w:spacing w:val="-2"/>
                <w:sz w:val="18"/>
              </w:rPr>
              <w:t>1.032</w:t>
            </w:r>
          </w:p>
        </w:tc>
        <w:tc>
          <w:tcPr>
            <w:tcW w:w="964" w:type="dxa"/>
            <w:tcBorders>
              <w:top w:val="single" w:sz="24" w:space="0" w:color="000000"/>
            </w:tcBorders>
          </w:tcPr>
          <w:p>
            <w:pPr>
              <w:pStyle w:val="TableParagraph"/>
              <w:spacing w:before="73"/>
              <w:ind w:right="89"/>
              <w:jc w:val="right"/>
              <w:rPr>
                <w:sz w:val="18"/>
              </w:rPr>
            </w:pPr>
            <w:r>
              <w:rPr>
                <w:spacing w:val="-2"/>
                <w:sz w:val="18"/>
              </w:rPr>
              <w:t>1.933</w:t>
            </w:r>
          </w:p>
        </w:tc>
      </w:tr>
    </w:tbl>
    <w:p>
      <w:pPr>
        <w:pStyle w:val="BodyText"/>
        <w:spacing w:before="232"/>
        <w:rPr>
          <w:b/>
          <w:sz w:val="26"/>
        </w:rPr>
      </w:pPr>
    </w:p>
    <w:p>
      <w:pPr>
        <w:pStyle w:val="Heading3"/>
        <w:numPr>
          <w:ilvl w:val="0"/>
          <w:numId w:val="9"/>
        </w:numPr>
        <w:tabs>
          <w:tab w:pos="718" w:val="left" w:leader="none"/>
        </w:tabs>
        <w:spacing w:line="240" w:lineRule="auto" w:before="0" w:after="0"/>
        <w:ind w:left="718" w:right="0" w:hanging="568"/>
        <w:jc w:val="left"/>
      </w:pPr>
      <w:bookmarkStart w:name="_TOC_250008" w:id="17"/>
      <w:r>
        <w:rPr/>
        <w:t>Partes</w:t>
      </w:r>
      <w:r>
        <w:rPr>
          <w:spacing w:val="-6"/>
        </w:rPr>
        <w:t> </w:t>
      </w:r>
      <w:bookmarkEnd w:id="17"/>
      <w:r>
        <w:rPr>
          <w:spacing w:val="-2"/>
        </w:rPr>
        <w:t>relacionadas</w:t>
      </w:r>
    </w:p>
    <w:p>
      <w:pPr>
        <w:pStyle w:val="ListParagraph"/>
        <w:numPr>
          <w:ilvl w:val="1"/>
          <w:numId w:val="9"/>
        </w:numPr>
        <w:tabs>
          <w:tab w:pos="718" w:val="left" w:leader="none"/>
        </w:tabs>
        <w:spacing w:line="240" w:lineRule="auto" w:before="240" w:after="0"/>
        <w:ind w:left="718" w:right="0" w:hanging="568"/>
        <w:jc w:val="left"/>
        <w:rPr>
          <w:b/>
          <w:sz w:val="24"/>
        </w:rPr>
      </w:pPr>
      <w:r>
        <w:rPr>
          <w:b/>
          <w:sz w:val="24"/>
        </w:rPr>
        <w:t>Transações</w:t>
      </w:r>
      <w:r>
        <w:rPr>
          <w:b/>
          <w:spacing w:val="-1"/>
          <w:sz w:val="24"/>
        </w:rPr>
        <w:t> </w:t>
      </w:r>
      <w:r>
        <w:rPr>
          <w:b/>
          <w:sz w:val="24"/>
        </w:rPr>
        <w:t>comerciais</w:t>
      </w:r>
      <w:r>
        <w:rPr>
          <w:b/>
          <w:spacing w:val="-1"/>
          <w:sz w:val="24"/>
        </w:rPr>
        <w:t> </w:t>
      </w:r>
      <w:r>
        <w:rPr>
          <w:b/>
          <w:sz w:val="24"/>
        </w:rPr>
        <w:t>e</w:t>
      </w:r>
      <w:r>
        <w:rPr>
          <w:b/>
          <w:spacing w:val="-1"/>
          <w:sz w:val="24"/>
        </w:rPr>
        <w:t> </w:t>
      </w:r>
      <w:r>
        <w:rPr>
          <w:b/>
          <w:sz w:val="24"/>
        </w:rPr>
        <w:t>outras</w:t>
      </w:r>
      <w:r>
        <w:rPr>
          <w:b/>
          <w:spacing w:val="-1"/>
          <w:sz w:val="24"/>
        </w:rPr>
        <w:t> </w:t>
      </w:r>
      <w:r>
        <w:rPr>
          <w:b/>
          <w:spacing w:val="-2"/>
          <w:sz w:val="24"/>
        </w:rPr>
        <w:t>operações</w:t>
      </w:r>
    </w:p>
    <w:p>
      <w:pPr>
        <w:pStyle w:val="BodyText"/>
        <w:spacing w:before="240"/>
        <w:ind w:left="152" w:right="356" w:hanging="1"/>
        <w:jc w:val="both"/>
      </w:pPr>
      <w:r>
        <w:rPr/>
        <w:t>A Companhia segue a política com partes relacionadas da Petrobras e suas participações societárias, que visa estabelecer</w:t>
      </w:r>
      <w:r>
        <w:rPr>
          <w:spacing w:val="-7"/>
        </w:rPr>
        <w:t> </w:t>
      </w:r>
      <w:r>
        <w:rPr/>
        <w:t>regras</w:t>
      </w:r>
      <w:r>
        <w:rPr>
          <w:spacing w:val="-7"/>
        </w:rPr>
        <w:t> </w:t>
      </w:r>
      <w:r>
        <w:rPr/>
        <w:t>para</w:t>
      </w:r>
      <w:r>
        <w:rPr>
          <w:spacing w:val="-7"/>
        </w:rPr>
        <w:t> </w:t>
      </w:r>
      <w:r>
        <w:rPr/>
        <w:t>assegurar</w:t>
      </w:r>
      <w:r>
        <w:rPr>
          <w:spacing w:val="-8"/>
        </w:rPr>
        <w:t> </w:t>
      </w:r>
      <w:r>
        <w:rPr/>
        <w:t>que</w:t>
      </w:r>
      <w:r>
        <w:rPr>
          <w:spacing w:val="-5"/>
        </w:rPr>
        <w:t> </w:t>
      </w:r>
      <w:r>
        <w:rPr/>
        <w:t>todas</w:t>
      </w:r>
      <w:r>
        <w:rPr>
          <w:spacing w:val="-7"/>
        </w:rPr>
        <w:t> </w:t>
      </w:r>
      <w:r>
        <w:rPr/>
        <w:t>as</w:t>
      </w:r>
      <w:r>
        <w:rPr>
          <w:spacing w:val="-7"/>
        </w:rPr>
        <w:t> </w:t>
      </w:r>
      <w:r>
        <w:rPr/>
        <w:t>decisões</w:t>
      </w:r>
      <w:r>
        <w:rPr>
          <w:spacing w:val="-6"/>
        </w:rPr>
        <w:t> </w:t>
      </w:r>
      <w:r>
        <w:rPr/>
        <w:t>envolvendo</w:t>
      </w:r>
      <w:r>
        <w:rPr>
          <w:spacing w:val="-4"/>
        </w:rPr>
        <w:t> </w:t>
      </w:r>
      <w:r>
        <w:rPr/>
        <w:t>partes</w:t>
      </w:r>
      <w:r>
        <w:rPr>
          <w:spacing w:val="-5"/>
        </w:rPr>
        <w:t> </w:t>
      </w:r>
      <w:r>
        <w:rPr/>
        <w:t>relacionadas</w:t>
      </w:r>
      <w:r>
        <w:rPr>
          <w:spacing w:val="-7"/>
        </w:rPr>
        <w:t> </w:t>
      </w:r>
      <w:r>
        <w:rPr/>
        <w:t>e</w:t>
      </w:r>
      <w:r>
        <w:rPr>
          <w:spacing w:val="-6"/>
        </w:rPr>
        <w:t> </w:t>
      </w:r>
      <w:r>
        <w:rPr/>
        <w:t>situações</w:t>
      </w:r>
      <w:r>
        <w:rPr>
          <w:spacing w:val="-6"/>
        </w:rPr>
        <w:t> </w:t>
      </w:r>
      <w:r>
        <w:rPr/>
        <w:t>com</w:t>
      </w:r>
      <w:r>
        <w:rPr>
          <w:spacing w:val="-6"/>
        </w:rPr>
        <w:t> </w:t>
      </w:r>
      <w:r>
        <w:rPr/>
        <w:t>potencial conflito de interesses respeitem a legislação e as partes envolvidas nas negociações.</w:t>
      </w:r>
    </w:p>
    <w:p>
      <w:pPr>
        <w:spacing w:after="0"/>
        <w:jc w:val="both"/>
        <w:sectPr>
          <w:pgSz w:w="11910" w:h="16840"/>
          <w:pgMar w:header="637" w:footer="630" w:top="1800" w:bottom="820" w:left="700" w:right="480"/>
        </w:sectPr>
      </w:pPr>
    </w:p>
    <w:p>
      <w:pPr>
        <w:pStyle w:val="BodyText"/>
        <w:rPr>
          <w:sz w:val="20"/>
        </w:rPr>
      </w:pPr>
    </w:p>
    <w:p>
      <w:pPr>
        <w:pStyle w:val="BodyText"/>
        <w:rPr>
          <w:sz w:val="20"/>
        </w:rPr>
      </w:pPr>
    </w:p>
    <w:p>
      <w:pPr>
        <w:pStyle w:val="BodyText"/>
        <w:spacing w:before="64"/>
        <w:rPr>
          <w:sz w:val="20"/>
        </w:rPr>
      </w:pPr>
    </w:p>
    <w:p>
      <w:pPr>
        <w:pStyle w:val="BodyText"/>
        <w:spacing w:line="20" w:lineRule="exact"/>
        <w:ind w:left="7523"/>
        <w:rPr>
          <w:sz w:val="2"/>
        </w:rPr>
      </w:pPr>
      <w:r>
        <w:rPr>
          <w:sz w:val="2"/>
        </w:rPr>
        <mc:AlternateContent>
          <mc:Choice Requires="wps">
            <w:drawing>
              <wp:inline distT="0" distB="0" distL="0" distR="0">
                <wp:extent cx="1715770" cy="6350"/>
                <wp:effectExtent l="9525" t="0" r="0" b="3175"/>
                <wp:docPr id="98" name="Group 98"/>
                <wp:cNvGraphicFramePr>
                  <a:graphicFrameLocks/>
                </wp:cNvGraphicFramePr>
                <a:graphic>
                  <a:graphicData uri="http://schemas.microsoft.com/office/word/2010/wordprocessingGroup">
                    <wpg:wgp>
                      <wpg:cNvPr id="98" name="Group 98"/>
                      <wpg:cNvGrpSpPr/>
                      <wpg:grpSpPr>
                        <a:xfrm>
                          <a:off x="0" y="0"/>
                          <a:ext cx="1715770" cy="6350"/>
                          <a:chExt cx="1715770" cy="6350"/>
                        </a:xfrm>
                      </wpg:grpSpPr>
                      <wps:wsp>
                        <wps:cNvPr id="99" name="Graphic 99"/>
                        <wps:cNvSpPr/>
                        <wps:spPr>
                          <a:xfrm>
                            <a:off x="0" y="3047"/>
                            <a:ext cx="857250" cy="1270"/>
                          </a:xfrm>
                          <a:custGeom>
                            <a:avLst/>
                            <a:gdLst/>
                            <a:ahLst/>
                            <a:cxnLst/>
                            <a:rect l="l" t="t" r="r" b="b"/>
                            <a:pathLst>
                              <a:path w="857250" h="0">
                                <a:moveTo>
                                  <a:pt x="0" y="0"/>
                                </a:moveTo>
                                <a:lnTo>
                                  <a:pt x="857250" y="0"/>
                                </a:lnTo>
                              </a:path>
                            </a:pathLst>
                          </a:custGeom>
                          <a:ln w="6096">
                            <a:solidFill>
                              <a:srgbClr val="000000"/>
                            </a:solidFill>
                            <a:prstDash val="solid"/>
                          </a:ln>
                        </wps:spPr>
                        <wps:bodyPr wrap="square" lIns="0" tIns="0" rIns="0" bIns="0" rtlCol="0">
                          <a:prstTxWarp prst="textNoShape">
                            <a:avLst/>
                          </a:prstTxWarp>
                          <a:noAutofit/>
                        </wps:bodyPr>
                      </wps:wsp>
                      <wps:wsp>
                        <wps:cNvPr id="100" name="Graphic 100"/>
                        <wps:cNvSpPr/>
                        <wps:spPr>
                          <a:xfrm>
                            <a:off x="857250" y="0"/>
                            <a:ext cx="6350" cy="6350"/>
                          </a:xfrm>
                          <a:custGeom>
                            <a:avLst/>
                            <a:gdLst/>
                            <a:ahLst/>
                            <a:cxnLst/>
                            <a:rect l="l" t="t" r="r" b="b"/>
                            <a:pathLst>
                              <a:path w="6350" h="6350">
                                <a:moveTo>
                                  <a:pt x="6095" y="0"/>
                                </a:moveTo>
                                <a:lnTo>
                                  <a:pt x="0" y="0"/>
                                </a:lnTo>
                                <a:lnTo>
                                  <a:pt x="0" y="6095"/>
                                </a:lnTo>
                                <a:lnTo>
                                  <a:pt x="6095" y="6095"/>
                                </a:lnTo>
                                <a:lnTo>
                                  <a:pt x="6095"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863346" y="3047"/>
                            <a:ext cx="852169" cy="1270"/>
                          </a:xfrm>
                          <a:custGeom>
                            <a:avLst/>
                            <a:gdLst/>
                            <a:ahLst/>
                            <a:cxnLst/>
                            <a:rect l="l" t="t" r="r" b="b"/>
                            <a:pathLst>
                              <a:path w="852169" h="0">
                                <a:moveTo>
                                  <a:pt x="0" y="0"/>
                                </a:moveTo>
                                <a:lnTo>
                                  <a:pt x="851916" y="0"/>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35.1pt;height:.5pt;mso-position-horizontal-relative:char;mso-position-vertical-relative:line" id="docshapegroup75" coordorigin="0,0" coordsize="2702,10">
                <v:line style="position:absolute" from="0,5" to="1350,5" stroked="true" strokeweight=".48pt" strokecolor="#000000">
                  <v:stroke dashstyle="solid"/>
                </v:line>
                <v:rect style="position:absolute;left:1350;top:0;width:10;height:10" id="docshape76" filled="true" fillcolor="#000000" stroked="false">
                  <v:fill type="solid"/>
                </v:rect>
                <v:line style="position:absolute" from="1360,5" to="2701,5" stroked="true" strokeweight=".48pt" strokecolor="#000000">
                  <v:stroke dashstyle="solid"/>
                </v:line>
              </v:group>
            </w:pict>
          </mc:Fallback>
        </mc:AlternateContent>
      </w:r>
      <w:r>
        <w:rPr>
          <w:sz w:val="2"/>
        </w:rPr>
      </w:r>
    </w:p>
    <w:p>
      <w:pPr>
        <w:pStyle w:val="BodyText"/>
        <w:rPr>
          <w:sz w:val="18"/>
        </w:rPr>
      </w:pPr>
    </w:p>
    <w:p>
      <w:pPr>
        <w:pStyle w:val="BodyText"/>
        <w:spacing w:before="66"/>
        <w:rPr>
          <w:sz w:val="18"/>
        </w:rPr>
      </w:pPr>
    </w:p>
    <w:p>
      <w:pPr>
        <w:tabs>
          <w:tab w:pos="9876" w:val="left" w:leader="none"/>
        </w:tabs>
        <w:spacing w:before="0"/>
        <w:ind w:left="8448" w:right="0" w:firstLine="0"/>
        <w:jc w:val="left"/>
        <w:rPr>
          <w:b/>
          <w:sz w:val="18"/>
        </w:rPr>
      </w:pPr>
      <w:r>
        <w:rPr/>
        <mc:AlternateContent>
          <mc:Choice Requires="wps">
            <w:drawing>
              <wp:anchor distT="0" distB="0" distL="0" distR="0" allowOverlap="1" layoutInCell="1" locked="0" behindDoc="1" simplePos="0" relativeHeight="485608960">
                <wp:simplePos x="0" y="0"/>
                <wp:positionH relativeFrom="page">
                  <wp:posOffset>5219275</wp:posOffset>
                </wp:positionH>
                <wp:positionV relativeFrom="paragraph">
                  <wp:posOffset>106285</wp:posOffset>
                </wp:positionV>
                <wp:extent cx="1746885" cy="3175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746885" cy="31750"/>
                          <a:chExt cx="1746885" cy="31750"/>
                        </a:xfrm>
                      </wpg:grpSpPr>
                      <wps:wsp>
                        <wps:cNvPr id="103" name="Graphic 103"/>
                        <wps:cNvSpPr/>
                        <wps:spPr>
                          <a:xfrm>
                            <a:off x="4234" y="15866"/>
                            <a:ext cx="1714500" cy="7620"/>
                          </a:xfrm>
                          <a:custGeom>
                            <a:avLst/>
                            <a:gdLst/>
                            <a:ahLst/>
                            <a:cxnLst/>
                            <a:rect l="l" t="t" r="r" b="b"/>
                            <a:pathLst>
                              <a:path w="1714500" h="7620">
                                <a:moveTo>
                                  <a:pt x="1083564" y="0"/>
                                </a:moveTo>
                                <a:lnTo>
                                  <a:pt x="0" y="0"/>
                                </a:lnTo>
                                <a:lnTo>
                                  <a:pt x="0" y="7607"/>
                                </a:lnTo>
                                <a:lnTo>
                                  <a:pt x="1083564" y="7607"/>
                                </a:lnTo>
                                <a:lnTo>
                                  <a:pt x="1083564" y="0"/>
                                </a:lnTo>
                                <a:close/>
                              </a:path>
                              <a:path w="1714500" h="7620">
                                <a:moveTo>
                                  <a:pt x="1714500" y="0"/>
                                </a:moveTo>
                                <a:lnTo>
                                  <a:pt x="1492758" y="0"/>
                                </a:lnTo>
                                <a:lnTo>
                                  <a:pt x="1492758" y="7607"/>
                                </a:lnTo>
                                <a:lnTo>
                                  <a:pt x="1714500" y="7607"/>
                                </a:lnTo>
                                <a:lnTo>
                                  <a:pt x="1714500"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12700" y="12700"/>
                            <a:ext cx="1721485" cy="6350"/>
                          </a:xfrm>
                          <a:custGeom>
                            <a:avLst/>
                            <a:gdLst/>
                            <a:ahLst/>
                            <a:cxnLst/>
                            <a:rect l="l" t="t" r="r" b="b"/>
                            <a:pathLst>
                              <a:path w="1721485" h="6350">
                                <a:moveTo>
                                  <a:pt x="0" y="6118"/>
                                </a:moveTo>
                                <a:lnTo>
                                  <a:pt x="1720894" y="0"/>
                                </a:lnTo>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0.966614pt;margin-top:8.368944pt;width:137.550pt;height:2.5pt;mso-position-horizontal-relative:page;mso-position-vertical-relative:paragraph;z-index:-17707520" id="docshapegroup77" coordorigin="8219,167" coordsize="2751,50">
                <v:shape style="position:absolute;left:8226;top:192;width:2700;height:12" id="docshape78" coordorigin="8226,192" coordsize="2700,12" path="m9932,192l8226,192,8226,204,9932,204,9932,192xm10926,192l10577,192,10577,204,10926,204,10926,192xe" filled="true" fillcolor="#000000" stroked="false">
                  <v:path arrowok="t"/>
                  <v:fill type="solid"/>
                </v:shape>
                <v:line style="position:absolute" from="8239,197" to="10949,187" stroked="true" strokeweight="2.0pt" strokecolor="#000000">
                  <v:stroke dashstyle="solid"/>
                </v:line>
                <w10:wrap type="none"/>
              </v:group>
            </w:pict>
          </mc:Fallback>
        </mc:AlternateContent>
      </w:r>
      <w:r>
        <w:rPr>
          <w:b/>
          <w:spacing w:val="-4"/>
          <w:sz w:val="18"/>
        </w:rPr>
        <w:t>2022</w:t>
      </w:r>
      <w:r>
        <w:rPr>
          <w:b/>
          <w:sz w:val="18"/>
        </w:rPr>
        <w:tab/>
      </w:r>
      <w:r>
        <w:rPr>
          <w:b/>
          <w:spacing w:val="-4"/>
          <w:sz w:val="18"/>
        </w:rPr>
        <w:t>2021</w:t>
      </w:r>
    </w:p>
    <w:p>
      <w:pPr>
        <w:spacing w:line="280" w:lineRule="auto" w:before="23"/>
        <w:ind w:left="219" w:right="9436" w:firstLine="0"/>
        <w:jc w:val="left"/>
        <w:rPr>
          <w:sz w:val="18"/>
        </w:rPr>
      </w:pPr>
      <w:r>
        <w:rPr>
          <w:spacing w:val="-2"/>
          <w:sz w:val="18"/>
        </w:rPr>
        <w:t>Ativo</w:t>
      </w:r>
      <w:r>
        <w:rPr>
          <w:sz w:val="18"/>
        </w:rPr>
        <w:t> </w:t>
      </w:r>
      <w:r>
        <w:rPr>
          <w:spacing w:val="-2"/>
          <w:sz w:val="18"/>
        </w:rPr>
        <w:t>Circulante</w:t>
      </w:r>
    </w:p>
    <w:p>
      <w:pPr>
        <w:spacing w:before="14"/>
        <w:ind w:left="426" w:right="0" w:firstLine="0"/>
        <w:jc w:val="left"/>
        <w:rPr>
          <w:sz w:val="18"/>
        </w:rPr>
      </w:pPr>
      <w:r>
        <w:rPr>
          <w:sz w:val="18"/>
        </w:rPr>
        <w:t>Contas</w:t>
      </w:r>
      <w:r>
        <w:rPr>
          <w:spacing w:val="-3"/>
          <w:sz w:val="18"/>
        </w:rPr>
        <w:t> </w:t>
      </w:r>
      <w:r>
        <w:rPr>
          <w:sz w:val="18"/>
        </w:rPr>
        <w:t>a</w:t>
      </w:r>
      <w:r>
        <w:rPr>
          <w:spacing w:val="-2"/>
          <w:sz w:val="18"/>
        </w:rPr>
        <w:t> </w:t>
      </w:r>
      <w:r>
        <w:rPr>
          <w:sz w:val="18"/>
        </w:rPr>
        <w:t>receber,</w:t>
      </w:r>
      <w:r>
        <w:rPr>
          <w:spacing w:val="-3"/>
          <w:sz w:val="18"/>
        </w:rPr>
        <w:t> </w:t>
      </w:r>
      <w:r>
        <w:rPr>
          <w:spacing w:val="-2"/>
          <w:sz w:val="18"/>
        </w:rPr>
        <w:t>líquida</w:t>
      </w:r>
    </w:p>
    <w:p>
      <w:pPr>
        <w:spacing w:before="30"/>
        <w:ind w:left="462" w:right="0" w:firstLine="0"/>
        <w:jc w:val="left"/>
        <w:rPr>
          <w:sz w:val="18"/>
        </w:rPr>
      </w:pPr>
      <w:r>
        <w:rPr>
          <w:sz w:val="18"/>
        </w:rPr>
        <w:t>Petróleo</w:t>
      </w:r>
      <w:r>
        <w:rPr>
          <w:spacing w:val="-3"/>
          <w:sz w:val="18"/>
        </w:rPr>
        <w:t> </w:t>
      </w:r>
      <w:r>
        <w:rPr>
          <w:sz w:val="18"/>
        </w:rPr>
        <w:t>Brasileiro</w:t>
      </w:r>
      <w:r>
        <w:rPr>
          <w:spacing w:val="-3"/>
          <w:sz w:val="18"/>
        </w:rPr>
        <w:t> </w:t>
      </w:r>
      <w:r>
        <w:rPr>
          <w:sz w:val="18"/>
        </w:rPr>
        <w:t>S.A.</w:t>
      </w:r>
      <w:r>
        <w:rPr>
          <w:spacing w:val="-2"/>
          <w:sz w:val="18"/>
        </w:rPr>
        <w:t> </w:t>
      </w:r>
      <w:r>
        <w:rPr>
          <w:sz w:val="18"/>
        </w:rPr>
        <w:t>‐</w:t>
      </w:r>
      <w:r>
        <w:rPr>
          <w:spacing w:val="-2"/>
          <w:sz w:val="18"/>
        </w:rPr>
        <w:t> Petrobras</w:t>
      </w:r>
    </w:p>
    <w:p>
      <w:pPr>
        <w:pStyle w:val="BodyText"/>
        <w:spacing w:before="9"/>
        <w:rPr>
          <w:sz w:val="8"/>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19"/>
        <w:gridCol w:w="1722"/>
        <w:gridCol w:w="1028"/>
      </w:tblGrid>
      <w:tr>
        <w:trPr>
          <w:trHeight w:val="238" w:hRule="atLeast"/>
        </w:trPr>
        <w:tc>
          <w:tcPr>
            <w:tcW w:w="7019" w:type="dxa"/>
          </w:tcPr>
          <w:p>
            <w:pPr>
              <w:pStyle w:val="TableParagraph"/>
              <w:spacing w:line="183" w:lineRule="exact"/>
              <w:ind w:left="50"/>
              <w:rPr>
                <w:sz w:val="18"/>
              </w:rPr>
            </w:pPr>
            <w:r>
              <w:rPr>
                <w:sz w:val="18"/>
              </w:rPr>
              <w:t>Contas</w:t>
            </w:r>
            <w:r>
              <w:rPr>
                <w:spacing w:val="-2"/>
                <w:sz w:val="18"/>
              </w:rPr>
              <w:t> </w:t>
            </w:r>
            <w:r>
              <w:rPr>
                <w:sz w:val="18"/>
              </w:rPr>
              <w:t>a</w:t>
            </w:r>
            <w:r>
              <w:rPr>
                <w:spacing w:val="-2"/>
                <w:sz w:val="18"/>
              </w:rPr>
              <w:t> </w:t>
            </w:r>
            <w:r>
              <w:rPr>
                <w:sz w:val="18"/>
              </w:rPr>
              <w:t>receber</w:t>
            </w:r>
            <w:r>
              <w:rPr>
                <w:spacing w:val="-2"/>
                <w:sz w:val="18"/>
              </w:rPr>
              <w:t> </w:t>
            </w:r>
            <w:r>
              <w:rPr>
                <w:sz w:val="18"/>
              </w:rPr>
              <w:t>‐</w:t>
            </w:r>
            <w:r>
              <w:rPr>
                <w:spacing w:val="-1"/>
                <w:sz w:val="18"/>
              </w:rPr>
              <w:t> </w:t>
            </w:r>
            <w:r>
              <w:rPr>
                <w:spacing w:val="-4"/>
                <w:sz w:val="18"/>
              </w:rPr>
              <w:t>FIDC</w:t>
            </w:r>
          </w:p>
        </w:tc>
        <w:tc>
          <w:tcPr>
            <w:tcW w:w="1722" w:type="dxa"/>
          </w:tcPr>
          <w:p>
            <w:pPr>
              <w:pStyle w:val="TableParagraph"/>
              <w:spacing w:line="207" w:lineRule="exact"/>
              <w:ind w:right="424"/>
              <w:jc w:val="right"/>
              <w:rPr>
                <w:sz w:val="18"/>
              </w:rPr>
            </w:pPr>
            <w:r>
              <w:rPr>
                <w:spacing w:val="-2"/>
                <w:sz w:val="18"/>
              </w:rPr>
              <w:t>92.918</w:t>
            </w:r>
          </w:p>
        </w:tc>
        <w:tc>
          <w:tcPr>
            <w:tcW w:w="1028" w:type="dxa"/>
          </w:tcPr>
          <w:p>
            <w:pPr>
              <w:pStyle w:val="TableParagraph"/>
              <w:spacing w:line="207" w:lineRule="exact"/>
              <w:ind w:right="97"/>
              <w:jc w:val="right"/>
              <w:rPr>
                <w:sz w:val="18"/>
              </w:rPr>
            </w:pPr>
            <w:r>
              <w:rPr>
                <w:spacing w:val="-2"/>
                <w:sz w:val="18"/>
              </w:rPr>
              <w:t>59.535</w:t>
            </w:r>
          </w:p>
        </w:tc>
      </w:tr>
      <w:tr>
        <w:trPr>
          <w:trHeight w:val="204" w:hRule="atLeast"/>
        </w:trPr>
        <w:tc>
          <w:tcPr>
            <w:tcW w:w="7019" w:type="dxa"/>
          </w:tcPr>
          <w:p>
            <w:pPr>
              <w:pStyle w:val="TableParagraph"/>
              <w:spacing w:line="185" w:lineRule="exact"/>
              <w:ind w:left="50"/>
              <w:rPr>
                <w:sz w:val="18"/>
              </w:rPr>
            </w:pPr>
            <w:r>
              <w:rPr>
                <w:sz w:val="18"/>
              </w:rPr>
              <w:t>Contas</w:t>
            </w:r>
            <w:r>
              <w:rPr>
                <w:spacing w:val="-2"/>
                <w:sz w:val="18"/>
              </w:rPr>
              <w:t> </w:t>
            </w:r>
            <w:r>
              <w:rPr>
                <w:sz w:val="18"/>
              </w:rPr>
              <w:t>a</w:t>
            </w:r>
            <w:r>
              <w:rPr>
                <w:spacing w:val="-2"/>
                <w:sz w:val="18"/>
              </w:rPr>
              <w:t> </w:t>
            </w:r>
            <w:r>
              <w:rPr>
                <w:sz w:val="18"/>
              </w:rPr>
              <w:t>receber</w:t>
            </w:r>
            <w:r>
              <w:rPr>
                <w:spacing w:val="-2"/>
                <w:sz w:val="18"/>
              </w:rPr>
              <w:t> </w:t>
            </w:r>
            <w:r>
              <w:rPr>
                <w:sz w:val="18"/>
              </w:rPr>
              <w:t>por</w:t>
            </w:r>
            <w:r>
              <w:rPr>
                <w:spacing w:val="-2"/>
                <w:sz w:val="18"/>
              </w:rPr>
              <w:t> venda</w:t>
            </w:r>
          </w:p>
        </w:tc>
        <w:tc>
          <w:tcPr>
            <w:tcW w:w="1722" w:type="dxa"/>
            <w:tcBorders>
              <w:bottom w:val="single" w:sz="24" w:space="0" w:color="000000"/>
            </w:tcBorders>
          </w:tcPr>
          <w:p>
            <w:pPr>
              <w:pStyle w:val="TableParagraph"/>
              <w:spacing w:line="153" w:lineRule="exact" w:before="18"/>
              <w:ind w:right="424"/>
              <w:jc w:val="right"/>
              <w:rPr>
                <w:sz w:val="18"/>
              </w:rPr>
            </w:pPr>
            <w:r>
              <w:rPr>
                <w:spacing w:val="-10"/>
                <w:sz w:val="18"/>
              </w:rPr>
              <w:t>‐</w:t>
            </w:r>
          </w:p>
        </w:tc>
        <w:tc>
          <w:tcPr>
            <w:tcW w:w="1028" w:type="dxa"/>
            <w:tcBorders>
              <w:bottom w:val="single" w:sz="24" w:space="0" w:color="000000"/>
            </w:tcBorders>
          </w:tcPr>
          <w:p>
            <w:pPr>
              <w:pStyle w:val="TableParagraph"/>
              <w:spacing w:line="153" w:lineRule="exact" w:before="18"/>
              <w:ind w:right="25"/>
              <w:jc w:val="right"/>
              <w:rPr>
                <w:sz w:val="18"/>
              </w:rPr>
            </w:pPr>
            <w:r>
              <w:rPr>
                <w:spacing w:val="-5"/>
                <w:sz w:val="18"/>
              </w:rPr>
              <w:t>249</w:t>
            </w:r>
          </w:p>
        </w:tc>
      </w:tr>
      <w:tr>
        <w:trPr>
          <w:trHeight w:val="298" w:hRule="atLeast"/>
        </w:trPr>
        <w:tc>
          <w:tcPr>
            <w:tcW w:w="7019" w:type="dxa"/>
          </w:tcPr>
          <w:p>
            <w:pPr>
              <w:pStyle w:val="TableParagraph"/>
              <w:rPr>
                <w:rFonts w:ascii="Times New Roman"/>
                <w:sz w:val="20"/>
              </w:rPr>
            </w:pPr>
          </w:p>
        </w:tc>
        <w:tc>
          <w:tcPr>
            <w:tcW w:w="1722" w:type="dxa"/>
            <w:tcBorders>
              <w:top w:val="single" w:sz="24" w:space="0" w:color="000000"/>
            </w:tcBorders>
          </w:tcPr>
          <w:p>
            <w:pPr>
              <w:pStyle w:val="TableParagraph"/>
              <w:spacing w:before="21"/>
              <w:ind w:right="424"/>
              <w:jc w:val="right"/>
              <w:rPr>
                <w:sz w:val="18"/>
              </w:rPr>
            </w:pPr>
            <w:r>
              <w:rPr/>
              <mc:AlternateContent>
                <mc:Choice Requires="wps">
                  <w:drawing>
                    <wp:anchor distT="0" distB="0" distL="0" distR="0" allowOverlap="1" layoutInCell="1" locked="0" behindDoc="1" simplePos="0" relativeHeight="485609472">
                      <wp:simplePos x="0" y="0"/>
                      <wp:positionH relativeFrom="column">
                        <wp:posOffset>4234</wp:posOffset>
                      </wp:positionH>
                      <wp:positionV relativeFrom="paragraph">
                        <wp:posOffset>159507</wp:posOffset>
                      </wp:positionV>
                      <wp:extent cx="1714500" cy="3810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714500" cy="38100"/>
                                <a:chExt cx="1714500" cy="38100"/>
                              </a:xfrm>
                            </wpg:grpSpPr>
                            <wps:wsp>
                              <wps:cNvPr id="106" name="Graphic 106"/>
                              <wps:cNvSpPr/>
                              <wps:spPr>
                                <a:xfrm>
                                  <a:off x="0" y="0"/>
                                  <a:ext cx="1714500" cy="38100"/>
                                </a:xfrm>
                                <a:custGeom>
                                  <a:avLst/>
                                  <a:gdLst/>
                                  <a:ahLst/>
                                  <a:cxnLst/>
                                  <a:rect l="l" t="t" r="r" b="b"/>
                                  <a:pathLst>
                                    <a:path w="1714500" h="38100">
                                      <a:moveTo>
                                        <a:pt x="1714499" y="0"/>
                                      </a:moveTo>
                                      <a:lnTo>
                                        <a:pt x="0" y="0"/>
                                      </a:lnTo>
                                      <a:lnTo>
                                        <a:pt x="0" y="38100"/>
                                      </a:lnTo>
                                      <a:lnTo>
                                        <a:pt x="1714499" y="38100"/>
                                      </a:lnTo>
                                      <a:lnTo>
                                        <a:pt x="17144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340pt;margin-top:12.559639pt;width:135pt;height:3pt;mso-position-horizontal-relative:column;mso-position-vertical-relative:paragraph;z-index:-17707008" id="docshapegroup79" coordorigin="7,251" coordsize="2700,60">
                      <v:rect style="position:absolute;left:6;top:251;width:2700;height:60" id="docshape80" filled="true" fillcolor="#000000" stroked="false">
                        <v:fill type="solid"/>
                      </v:rect>
                      <w10:wrap type="none"/>
                    </v:group>
                  </w:pict>
                </mc:Fallback>
              </mc:AlternateContent>
            </w:r>
            <w:r>
              <w:rPr>
                <w:spacing w:val="-2"/>
                <w:sz w:val="18"/>
              </w:rPr>
              <w:t>92.918</w:t>
            </w:r>
          </w:p>
        </w:tc>
        <w:tc>
          <w:tcPr>
            <w:tcW w:w="1028" w:type="dxa"/>
            <w:tcBorders>
              <w:top w:val="single" w:sz="24" w:space="0" w:color="000000"/>
            </w:tcBorders>
          </w:tcPr>
          <w:p>
            <w:pPr>
              <w:pStyle w:val="TableParagraph"/>
              <w:spacing w:before="21"/>
              <w:ind w:right="97"/>
              <w:jc w:val="right"/>
              <w:rPr>
                <w:sz w:val="18"/>
              </w:rPr>
            </w:pPr>
            <w:r>
              <w:rPr>
                <w:spacing w:val="-2"/>
                <w:sz w:val="18"/>
              </w:rPr>
              <w:t>59.784</w:t>
            </w:r>
          </w:p>
        </w:tc>
      </w:tr>
    </w:tbl>
    <w:p>
      <w:pPr>
        <w:spacing w:line="295" w:lineRule="auto" w:before="150"/>
        <w:ind w:left="219" w:right="9436" w:firstLine="0"/>
        <w:jc w:val="left"/>
        <w:rPr>
          <w:sz w:val="18"/>
        </w:rPr>
      </w:pPr>
      <w:r>
        <w:rPr>
          <w:spacing w:val="-2"/>
          <w:sz w:val="18"/>
        </w:rPr>
        <w:t>Passivo</w:t>
      </w:r>
      <w:r>
        <w:rPr>
          <w:sz w:val="18"/>
        </w:rPr>
        <w:t> </w:t>
      </w:r>
      <w:r>
        <w:rPr>
          <w:spacing w:val="-2"/>
          <w:sz w:val="18"/>
        </w:rPr>
        <w:t>Circulante</w:t>
      </w:r>
      <w:r>
        <w:rPr>
          <w:sz w:val="18"/>
        </w:rPr>
        <w:t> </w:t>
      </w:r>
      <w:r>
        <w:rPr>
          <w:spacing w:val="-2"/>
          <w:sz w:val="18"/>
        </w:rPr>
        <w:t>Fornecedores</w:t>
      </w:r>
    </w:p>
    <w:p>
      <w:pPr>
        <w:spacing w:line="199" w:lineRule="exact" w:before="0"/>
        <w:ind w:left="462" w:right="0" w:firstLine="0"/>
        <w:jc w:val="left"/>
        <w:rPr>
          <w:sz w:val="18"/>
        </w:rPr>
      </w:pPr>
      <w:r>
        <w:rPr>
          <w:sz w:val="18"/>
        </w:rPr>
        <w:t>Petróleo</w:t>
      </w:r>
      <w:r>
        <w:rPr>
          <w:spacing w:val="-3"/>
          <w:sz w:val="18"/>
        </w:rPr>
        <w:t> </w:t>
      </w:r>
      <w:r>
        <w:rPr>
          <w:sz w:val="18"/>
        </w:rPr>
        <w:t>Brasileiro</w:t>
      </w:r>
      <w:r>
        <w:rPr>
          <w:spacing w:val="-3"/>
          <w:sz w:val="18"/>
        </w:rPr>
        <w:t> </w:t>
      </w:r>
      <w:r>
        <w:rPr>
          <w:sz w:val="18"/>
        </w:rPr>
        <w:t>S.A.</w:t>
      </w:r>
      <w:r>
        <w:rPr>
          <w:spacing w:val="-2"/>
          <w:sz w:val="18"/>
        </w:rPr>
        <w:t> </w:t>
      </w:r>
      <w:r>
        <w:rPr>
          <w:sz w:val="18"/>
        </w:rPr>
        <w:t>‐</w:t>
      </w:r>
      <w:r>
        <w:rPr>
          <w:spacing w:val="-2"/>
          <w:sz w:val="18"/>
        </w:rPr>
        <w:t> Petrobras</w:t>
      </w:r>
    </w:p>
    <w:p>
      <w:pPr>
        <w:pStyle w:val="BodyText"/>
        <w:spacing w:before="8"/>
        <w:rPr>
          <w:sz w:val="8"/>
        </w:rPr>
      </w:pPr>
    </w:p>
    <w:tbl>
      <w:tblPr>
        <w:tblW w:w="0" w:type="auto"/>
        <w:jc w:val="left"/>
        <w:tblInd w:w="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02"/>
        <w:gridCol w:w="1962"/>
        <w:gridCol w:w="788"/>
      </w:tblGrid>
      <w:tr>
        <w:trPr>
          <w:trHeight w:val="178" w:hRule="atLeast"/>
        </w:trPr>
        <w:tc>
          <w:tcPr>
            <w:tcW w:w="7002" w:type="dxa"/>
          </w:tcPr>
          <w:p>
            <w:pPr>
              <w:pStyle w:val="TableParagraph"/>
              <w:spacing w:line="159" w:lineRule="exact"/>
              <w:ind w:left="50"/>
              <w:rPr>
                <w:sz w:val="18"/>
              </w:rPr>
            </w:pPr>
            <w:r>
              <w:rPr>
                <w:sz w:val="18"/>
              </w:rPr>
              <w:t>Compartilhamento</w:t>
            </w:r>
            <w:r>
              <w:rPr>
                <w:spacing w:val="-4"/>
                <w:sz w:val="18"/>
              </w:rPr>
              <w:t> </w:t>
            </w:r>
            <w:r>
              <w:rPr>
                <w:sz w:val="18"/>
              </w:rPr>
              <w:t>de</w:t>
            </w:r>
            <w:r>
              <w:rPr>
                <w:spacing w:val="-4"/>
                <w:sz w:val="18"/>
              </w:rPr>
              <w:t> </w:t>
            </w:r>
            <w:r>
              <w:rPr>
                <w:sz w:val="18"/>
              </w:rPr>
              <w:t>custos,</w:t>
            </w:r>
            <w:r>
              <w:rPr>
                <w:spacing w:val="-5"/>
                <w:sz w:val="18"/>
              </w:rPr>
              <w:t> </w:t>
            </w:r>
            <w:r>
              <w:rPr>
                <w:sz w:val="18"/>
              </w:rPr>
              <w:t>despesas</w:t>
            </w:r>
            <w:r>
              <w:rPr>
                <w:spacing w:val="-5"/>
                <w:sz w:val="18"/>
              </w:rPr>
              <w:t> </w:t>
            </w:r>
            <w:r>
              <w:rPr>
                <w:sz w:val="18"/>
              </w:rPr>
              <w:t>e</w:t>
            </w:r>
            <w:r>
              <w:rPr>
                <w:spacing w:val="-4"/>
                <w:sz w:val="18"/>
              </w:rPr>
              <w:t> </w:t>
            </w:r>
            <w:r>
              <w:rPr>
                <w:sz w:val="18"/>
              </w:rPr>
              <w:t>pessoal</w:t>
            </w:r>
            <w:r>
              <w:rPr>
                <w:spacing w:val="-4"/>
                <w:sz w:val="18"/>
              </w:rPr>
              <w:t> </w:t>
            </w:r>
            <w:r>
              <w:rPr>
                <w:spacing w:val="-2"/>
                <w:sz w:val="18"/>
              </w:rPr>
              <w:t>cedido</w:t>
            </w:r>
          </w:p>
        </w:tc>
        <w:tc>
          <w:tcPr>
            <w:tcW w:w="1962" w:type="dxa"/>
            <w:tcBorders>
              <w:bottom w:val="single" w:sz="24" w:space="0" w:color="000000"/>
            </w:tcBorders>
          </w:tcPr>
          <w:p>
            <w:pPr>
              <w:pStyle w:val="TableParagraph"/>
              <w:spacing w:line="159" w:lineRule="exact"/>
              <w:ind w:right="647"/>
              <w:jc w:val="right"/>
              <w:rPr>
                <w:sz w:val="18"/>
              </w:rPr>
            </w:pPr>
            <w:r>
              <w:rPr>
                <w:spacing w:val="-5"/>
                <w:sz w:val="18"/>
              </w:rPr>
              <w:t>244</w:t>
            </w:r>
          </w:p>
        </w:tc>
        <w:tc>
          <w:tcPr>
            <w:tcW w:w="788" w:type="dxa"/>
            <w:tcBorders>
              <w:bottom w:val="single" w:sz="24" w:space="0" w:color="000000"/>
            </w:tcBorders>
          </w:tcPr>
          <w:p>
            <w:pPr>
              <w:pStyle w:val="TableParagraph"/>
              <w:spacing w:line="159" w:lineRule="exact"/>
              <w:ind w:right="8"/>
              <w:jc w:val="right"/>
              <w:rPr>
                <w:sz w:val="18"/>
              </w:rPr>
            </w:pPr>
            <w:r>
              <w:rPr>
                <w:spacing w:val="-10"/>
                <w:sz w:val="18"/>
              </w:rPr>
              <w:t>‐</w:t>
            </w:r>
          </w:p>
        </w:tc>
      </w:tr>
      <w:tr>
        <w:trPr>
          <w:trHeight w:val="294" w:hRule="atLeast"/>
        </w:trPr>
        <w:tc>
          <w:tcPr>
            <w:tcW w:w="7002" w:type="dxa"/>
          </w:tcPr>
          <w:p>
            <w:pPr>
              <w:pStyle w:val="TableParagraph"/>
              <w:rPr>
                <w:rFonts w:ascii="Times New Roman"/>
                <w:sz w:val="20"/>
              </w:rPr>
            </w:pPr>
          </w:p>
        </w:tc>
        <w:tc>
          <w:tcPr>
            <w:tcW w:w="1962" w:type="dxa"/>
            <w:tcBorders>
              <w:top w:val="single" w:sz="24" w:space="0" w:color="000000"/>
            </w:tcBorders>
          </w:tcPr>
          <w:p>
            <w:pPr>
              <w:pStyle w:val="TableParagraph"/>
              <w:spacing w:before="4"/>
              <w:ind w:right="647"/>
              <w:jc w:val="right"/>
              <w:rPr>
                <w:sz w:val="18"/>
              </w:rPr>
            </w:pPr>
            <w:r>
              <w:rPr/>
              <mc:AlternateContent>
                <mc:Choice Requires="wps">
                  <w:drawing>
                    <wp:anchor distT="0" distB="0" distL="0" distR="0" allowOverlap="1" layoutInCell="1" locked="0" behindDoc="1" simplePos="0" relativeHeight="485609984">
                      <wp:simplePos x="0" y="0"/>
                      <wp:positionH relativeFrom="column">
                        <wp:posOffset>14913</wp:posOffset>
                      </wp:positionH>
                      <wp:positionV relativeFrom="paragraph">
                        <wp:posOffset>148712</wp:posOffset>
                      </wp:positionV>
                      <wp:extent cx="1714500" cy="3810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714500" cy="38100"/>
                                <a:chExt cx="1714500" cy="38100"/>
                              </a:xfrm>
                            </wpg:grpSpPr>
                            <wps:wsp>
                              <wps:cNvPr id="108" name="Graphic 108"/>
                              <wps:cNvSpPr/>
                              <wps:spPr>
                                <a:xfrm>
                                  <a:off x="0" y="0"/>
                                  <a:ext cx="1714500" cy="38100"/>
                                </a:xfrm>
                                <a:custGeom>
                                  <a:avLst/>
                                  <a:gdLst/>
                                  <a:ahLst/>
                                  <a:cxnLst/>
                                  <a:rect l="l" t="t" r="r" b="b"/>
                                  <a:pathLst>
                                    <a:path w="1714500" h="38100">
                                      <a:moveTo>
                                        <a:pt x="1714499" y="0"/>
                                      </a:moveTo>
                                      <a:lnTo>
                                        <a:pt x="0" y="0"/>
                                      </a:lnTo>
                                      <a:lnTo>
                                        <a:pt x="0" y="38100"/>
                                      </a:lnTo>
                                      <a:lnTo>
                                        <a:pt x="1714499" y="38100"/>
                                      </a:lnTo>
                                      <a:lnTo>
                                        <a:pt x="17144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174300pt;margin-top:11.709634pt;width:135pt;height:3pt;mso-position-horizontal-relative:column;mso-position-vertical-relative:paragraph;z-index:-17706496" id="docshapegroup81" coordorigin="23,234" coordsize="2700,60">
                      <v:rect style="position:absolute;left:23;top:234;width:2700;height:60" id="docshape82" filled="true" fillcolor="#000000" stroked="false">
                        <v:fill type="solid"/>
                      </v:rect>
                      <w10:wrap type="none"/>
                    </v:group>
                  </w:pict>
                </mc:Fallback>
              </mc:AlternateContent>
            </w:r>
            <w:r>
              <w:rPr>
                <w:spacing w:val="-5"/>
                <w:sz w:val="18"/>
              </w:rPr>
              <w:t>244</w:t>
            </w:r>
          </w:p>
        </w:tc>
        <w:tc>
          <w:tcPr>
            <w:tcW w:w="788" w:type="dxa"/>
            <w:tcBorders>
              <w:top w:val="single" w:sz="24" w:space="0" w:color="000000"/>
            </w:tcBorders>
          </w:tcPr>
          <w:p>
            <w:pPr>
              <w:pStyle w:val="TableParagraph"/>
              <w:spacing w:before="4"/>
              <w:ind w:right="80"/>
              <w:jc w:val="right"/>
              <w:rPr>
                <w:sz w:val="18"/>
              </w:rPr>
            </w:pPr>
            <w:r>
              <w:rPr>
                <w:spacing w:val="-10"/>
                <w:sz w:val="18"/>
              </w:rPr>
              <w:t>‐</w:t>
            </w:r>
          </w:p>
        </w:tc>
      </w:tr>
    </w:tbl>
    <w:p>
      <w:pPr>
        <w:pStyle w:val="BodyText"/>
        <w:spacing w:before="21"/>
        <w:rPr>
          <w:sz w:val="18"/>
        </w:rPr>
      </w:pPr>
    </w:p>
    <w:p>
      <w:pPr>
        <w:spacing w:before="1"/>
        <w:ind w:left="219" w:right="0" w:firstLine="0"/>
        <w:jc w:val="left"/>
        <w:rPr>
          <w:sz w:val="18"/>
        </w:rPr>
      </w:pPr>
      <w:r>
        <w:rPr>
          <w:spacing w:val="-2"/>
          <w:sz w:val="18"/>
        </w:rPr>
        <w:t>Resultado</w:t>
      </w:r>
    </w:p>
    <w:p>
      <w:pPr>
        <w:spacing w:line="273" w:lineRule="auto" w:before="49"/>
        <w:ind w:left="462" w:right="7368" w:hanging="123"/>
        <w:jc w:val="left"/>
        <w:rPr>
          <w:sz w:val="18"/>
        </w:rPr>
      </w:pPr>
      <w:r>
        <w:rPr>
          <w:sz w:val="18"/>
        </w:rPr>
        <w:t>Receitas (Despesas) operacionais Petróleo</w:t>
      </w:r>
      <w:r>
        <w:rPr>
          <w:spacing w:val="-8"/>
          <w:sz w:val="18"/>
        </w:rPr>
        <w:t> </w:t>
      </w:r>
      <w:r>
        <w:rPr>
          <w:sz w:val="18"/>
        </w:rPr>
        <w:t>Brasileiro</w:t>
      </w:r>
      <w:r>
        <w:rPr>
          <w:spacing w:val="-9"/>
          <w:sz w:val="18"/>
        </w:rPr>
        <w:t> </w:t>
      </w:r>
      <w:r>
        <w:rPr>
          <w:sz w:val="18"/>
        </w:rPr>
        <w:t>S.A.</w:t>
      </w:r>
      <w:r>
        <w:rPr>
          <w:spacing w:val="-8"/>
          <w:sz w:val="18"/>
        </w:rPr>
        <w:t> </w:t>
      </w:r>
      <w:r>
        <w:rPr>
          <w:sz w:val="18"/>
        </w:rPr>
        <w:t>‐</w:t>
      </w:r>
      <w:r>
        <w:rPr>
          <w:spacing w:val="-8"/>
          <w:sz w:val="18"/>
        </w:rPr>
        <w:t> </w:t>
      </w:r>
      <w:r>
        <w:rPr>
          <w:sz w:val="18"/>
        </w:rPr>
        <w:t>Petrobras</w:t>
      </w:r>
    </w:p>
    <w:p>
      <w:pPr>
        <w:tabs>
          <w:tab w:pos="8296" w:val="left" w:leader="none"/>
          <w:tab w:pos="8763" w:val="left" w:leader="none"/>
          <w:tab w:pos="9651" w:val="left" w:leader="none"/>
          <w:tab w:pos="10169" w:val="right" w:leader="none"/>
        </w:tabs>
        <w:spacing w:line="266" w:lineRule="auto" w:before="39"/>
        <w:ind w:left="550" w:right="551" w:hanging="1"/>
        <w:jc w:val="left"/>
        <w:rPr>
          <w:sz w:val="18"/>
        </w:rPr>
      </w:pPr>
      <w:r>
        <w:rPr>
          <w:sz w:val="18"/>
        </w:rPr>
        <w:t>Compartilhamento de custos, despesas e pessoal cedido</w:t>
        <w:tab/>
      </w:r>
      <w:r>
        <w:rPr>
          <w:spacing w:val="-2"/>
          <w:position w:val="-2"/>
          <w:sz w:val="18"/>
        </w:rPr>
        <w:t>(5.814)</w:t>
      </w:r>
      <w:r>
        <w:rPr>
          <w:position w:val="-2"/>
          <w:sz w:val="18"/>
        </w:rPr>
        <w:tab/>
      </w:r>
      <w:r>
        <w:rPr>
          <w:spacing w:val="-2"/>
          <w:position w:val="-2"/>
          <w:sz w:val="18"/>
        </w:rPr>
        <w:t>(7.063)</w:t>
      </w:r>
      <w:r>
        <w:rPr>
          <w:position w:val="-2"/>
          <w:sz w:val="18"/>
        </w:rPr>
        <w:t> </w:t>
      </w:r>
      <w:r>
        <w:rPr>
          <w:position w:val="2"/>
          <w:sz w:val="18"/>
        </w:rPr>
        <w:t>Outras</w:t>
      </w:r>
      <w:r>
        <w:rPr>
          <w:spacing w:val="-6"/>
          <w:position w:val="2"/>
          <w:sz w:val="18"/>
        </w:rPr>
        <w:t> </w:t>
      </w:r>
      <w:r>
        <w:rPr>
          <w:position w:val="2"/>
          <w:sz w:val="18"/>
        </w:rPr>
        <w:t>receitas</w:t>
      </w:r>
      <w:r>
        <w:rPr>
          <w:spacing w:val="-6"/>
          <w:position w:val="2"/>
          <w:sz w:val="18"/>
        </w:rPr>
        <w:t> </w:t>
      </w:r>
      <w:r>
        <w:rPr>
          <w:spacing w:val="-5"/>
          <w:position w:val="2"/>
          <w:sz w:val="18"/>
        </w:rPr>
        <w:t>(i)</w:t>
      </w:r>
      <w:r>
        <w:rPr>
          <w:position w:val="2"/>
          <w:sz w:val="18"/>
        </w:rPr>
        <w:tab/>
        <w:tab/>
      </w:r>
      <w:r>
        <w:rPr>
          <w:spacing w:val="-10"/>
          <w:sz w:val="18"/>
        </w:rPr>
        <w:t>‐</w:t>
      </w:r>
      <w:r>
        <w:rPr>
          <w:rFonts w:ascii="Times New Roman" w:hAnsi="Times New Roman"/>
          <w:sz w:val="18"/>
        </w:rPr>
        <w:tab/>
        <w:tab/>
      </w:r>
      <w:r>
        <w:rPr>
          <w:spacing w:val="-2"/>
          <w:sz w:val="18"/>
        </w:rPr>
        <w:t>7.705</w:t>
      </w:r>
    </w:p>
    <w:p>
      <w:pPr>
        <w:spacing w:before="5"/>
        <w:ind w:left="340" w:right="0" w:firstLine="0"/>
        <w:jc w:val="left"/>
        <w:rPr>
          <w:sz w:val="18"/>
        </w:rPr>
      </w:pPr>
      <w:r>
        <w:rPr>
          <w:sz w:val="18"/>
        </w:rPr>
        <w:t>Resultado</w:t>
      </w:r>
      <w:r>
        <w:rPr>
          <w:spacing w:val="-5"/>
          <w:sz w:val="18"/>
        </w:rPr>
        <w:t> </w:t>
      </w:r>
      <w:r>
        <w:rPr>
          <w:spacing w:val="-2"/>
          <w:sz w:val="18"/>
        </w:rPr>
        <w:t>financeiro</w:t>
      </w:r>
    </w:p>
    <w:p>
      <w:pPr>
        <w:tabs>
          <w:tab w:pos="8404" w:val="left" w:leader="none"/>
          <w:tab w:pos="10241" w:val="right" w:leader="none"/>
        </w:tabs>
        <w:spacing w:before="24"/>
        <w:ind w:left="462" w:right="0" w:firstLine="0"/>
        <w:jc w:val="left"/>
        <w:rPr>
          <w:sz w:val="18"/>
        </w:rPr>
      </w:pPr>
      <w:r>
        <w:rPr/>
        <mc:AlternateContent>
          <mc:Choice Requires="wps">
            <w:drawing>
              <wp:anchor distT="0" distB="0" distL="0" distR="0" allowOverlap="1" layoutInCell="1" locked="0" behindDoc="0" simplePos="0" relativeHeight="15752192">
                <wp:simplePos x="0" y="0"/>
                <wp:positionH relativeFrom="page">
                  <wp:posOffset>5213935</wp:posOffset>
                </wp:positionH>
                <wp:positionV relativeFrom="paragraph">
                  <wp:posOffset>161265</wp:posOffset>
                </wp:positionV>
                <wp:extent cx="1746885" cy="3175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1746885" cy="31750"/>
                          <a:chExt cx="1746885" cy="31750"/>
                        </a:xfrm>
                      </wpg:grpSpPr>
                      <wps:wsp>
                        <wps:cNvPr id="110" name="Graphic 110"/>
                        <wps:cNvSpPr/>
                        <wps:spPr>
                          <a:xfrm>
                            <a:off x="9574" y="4378"/>
                            <a:ext cx="1714500" cy="7620"/>
                          </a:xfrm>
                          <a:custGeom>
                            <a:avLst/>
                            <a:gdLst/>
                            <a:ahLst/>
                            <a:cxnLst/>
                            <a:rect l="l" t="t" r="r" b="b"/>
                            <a:pathLst>
                              <a:path w="1714500" h="7620">
                                <a:moveTo>
                                  <a:pt x="1083564" y="0"/>
                                </a:moveTo>
                                <a:lnTo>
                                  <a:pt x="0" y="0"/>
                                </a:lnTo>
                                <a:lnTo>
                                  <a:pt x="0" y="7620"/>
                                </a:lnTo>
                                <a:lnTo>
                                  <a:pt x="1083564" y="7620"/>
                                </a:lnTo>
                                <a:lnTo>
                                  <a:pt x="1083564" y="0"/>
                                </a:lnTo>
                                <a:close/>
                              </a:path>
                              <a:path w="1714500" h="7620">
                                <a:moveTo>
                                  <a:pt x="1714500" y="0"/>
                                </a:moveTo>
                                <a:lnTo>
                                  <a:pt x="1463802" y="0"/>
                                </a:lnTo>
                                <a:lnTo>
                                  <a:pt x="1463802" y="7620"/>
                                </a:lnTo>
                                <a:lnTo>
                                  <a:pt x="1714500" y="7620"/>
                                </a:lnTo>
                                <a:lnTo>
                                  <a:pt x="171450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12700" y="12700"/>
                            <a:ext cx="1721485" cy="6350"/>
                          </a:xfrm>
                          <a:custGeom>
                            <a:avLst/>
                            <a:gdLst/>
                            <a:ahLst/>
                            <a:cxnLst/>
                            <a:rect l="l" t="t" r="r" b="b"/>
                            <a:pathLst>
                              <a:path w="1721485" h="6350">
                                <a:moveTo>
                                  <a:pt x="0" y="6118"/>
                                </a:moveTo>
                                <a:lnTo>
                                  <a:pt x="1720895" y="0"/>
                                </a:lnTo>
                              </a:path>
                            </a:pathLst>
                          </a:custGeom>
                          <a:ln w="253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0.546112pt;margin-top:12.698039pt;width:137.550pt;height:2.5pt;mso-position-horizontal-relative:page;mso-position-vertical-relative:paragraph;z-index:15752192" id="docshapegroup83" coordorigin="8211,254" coordsize="2751,50">
                <v:shape style="position:absolute;left:8226;top:260;width:2700;height:12" id="docshape84" coordorigin="8226,261" coordsize="2700,12" path="m9932,261l8226,261,8226,273,9932,273,9932,261xm10926,261l10531,261,10531,273,10926,273,10926,261xe" filled="true" fillcolor="#000000" stroked="false">
                  <v:path arrowok="t"/>
                  <v:fill type="solid"/>
                </v:shape>
                <v:line style="position:absolute" from="8231,284" to="10941,274" stroked="true" strokeweight="2.0pt" strokecolor="#000000">
                  <v:stroke dashstyle="solid"/>
                </v:line>
                <w10:wrap type="none"/>
              </v:group>
            </w:pict>
          </mc:Fallback>
        </mc:AlternateContent>
      </w:r>
      <w:r>
        <w:rPr>
          <w:sz w:val="18"/>
        </w:rPr>
        <w:t>Petróleo</w:t>
      </w:r>
      <w:r>
        <w:rPr>
          <w:spacing w:val="-4"/>
          <w:sz w:val="18"/>
        </w:rPr>
        <w:t> </w:t>
      </w:r>
      <w:r>
        <w:rPr>
          <w:sz w:val="18"/>
        </w:rPr>
        <w:t>Brasileiro</w:t>
      </w:r>
      <w:r>
        <w:rPr>
          <w:spacing w:val="-4"/>
          <w:sz w:val="18"/>
        </w:rPr>
        <w:t> </w:t>
      </w:r>
      <w:r>
        <w:rPr>
          <w:sz w:val="18"/>
        </w:rPr>
        <w:t>S.A.</w:t>
      </w:r>
      <w:r>
        <w:rPr>
          <w:spacing w:val="-4"/>
          <w:sz w:val="18"/>
        </w:rPr>
        <w:t> </w:t>
      </w:r>
      <w:r>
        <w:rPr>
          <w:sz w:val="18"/>
        </w:rPr>
        <w:t>‐</w:t>
      </w:r>
      <w:r>
        <w:rPr>
          <w:spacing w:val="-3"/>
          <w:sz w:val="18"/>
        </w:rPr>
        <w:t> </w:t>
      </w:r>
      <w:r>
        <w:rPr>
          <w:sz w:val="18"/>
        </w:rPr>
        <w:t>Petrobras</w:t>
      </w:r>
      <w:r>
        <w:rPr>
          <w:spacing w:val="-4"/>
          <w:sz w:val="18"/>
        </w:rPr>
        <w:t> </w:t>
      </w:r>
      <w:r>
        <w:rPr>
          <w:sz w:val="18"/>
        </w:rPr>
        <w:t>‐</w:t>
      </w:r>
      <w:r>
        <w:rPr>
          <w:spacing w:val="-3"/>
          <w:sz w:val="18"/>
        </w:rPr>
        <w:t> </w:t>
      </w:r>
      <w:r>
        <w:rPr>
          <w:sz w:val="18"/>
        </w:rPr>
        <w:t>receita</w:t>
      </w:r>
      <w:r>
        <w:rPr>
          <w:spacing w:val="-4"/>
          <w:sz w:val="18"/>
        </w:rPr>
        <w:t> </w:t>
      </w:r>
      <w:r>
        <w:rPr>
          <w:sz w:val="18"/>
        </w:rPr>
        <w:t>financeira</w:t>
      </w:r>
      <w:r>
        <w:rPr>
          <w:spacing w:val="-3"/>
          <w:sz w:val="18"/>
        </w:rPr>
        <w:t> </w:t>
      </w:r>
      <w:r>
        <w:rPr>
          <w:spacing w:val="-2"/>
          <w:sz w:val="18"/>
        </w:rPr>
        <w:t>‐FIDC</w:t>
      </w:r>
      <w:r>
        <w:rPr>
          <w:sz w:val="18"/>
        </w:rPr>
        <w:tab/>
      </w:r>
      <w:r>
        <w:rPr>
          <w:spacing w:val="-2"/>
          <w:position w:val="-3"/>
          <w:sz w:val="18"/>
        </w:rPr>
        <w:t>5.585</w:t>
      </w:r>
      <w:r>
        <w:rPr>
          <w:rFonts w:ascii="Times New Roman" w:hAnsi="Times New Roman"/>
          <w:position w:val="-3"/>
          <w:sz w:val="18"/>
        </w:rPr>
        <w:tab/>
      </w:r>
      <w:r>
        <w:rPr>
          <w:spacing w:val="-2"/>
          <w:position w:val="-3"/>
          <w:sz w:val="18"/>
        </w:rPr>
        <w:t>3.102</w:t>
      </w:r>
    </w:p>
    <w:p>
      <w:pPr>
        <w:tabs>
          <w:tab w:pos="1329" w:val="left" w:leader="none"/>
        </w:tabs>
        <w:spacing w:before="42"/>
        <w:ind w:left="0" w:right="552" w:firstLine="0"/>
        <w:jc w:val="right"/>
        <w:rPr>
          <w:sz w:val="18"/>
        </w:rPr>
      </w:pPr>
      <w:r>
        <w:rPr/>
        <mc:AlternateContent>
          <mc:Choice Requires="wps">
            <w:drawing>
              <wp:anchor distT="0" distB="0" distL="0" distR="0" allowOverlap="1" layoutInCell="1" locked="0" behindDoc="1" simplePos="0" relativeHeight="487609344">
                <wp:simplePos x="0" y="0"/>
                <wp:positionH relativeFrom="page">
                  <wp:posOffset>5214366</wp:posOffset>
                </wp:positionH>
                <wp:positionV relativeFrom="paragraph">
                  <wp:posOffset>172929</wp:posOffset>
                </wp:positionV>
                <wp:extent cx="1724025" cy="3810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724025" cy="38100"/>
                        </a:xfrm>
                        <a:custGeom>
                          <a:avLst/>
                          <a:gdLst/>
                          <a:ahLst/>
                          <a:cxnLst/>
                          <a:rect l="l" t="t" r="r" b="b"/>
                          <a:pathLst>
                            <a:path w="1724025" h="38100">
                              <a:moveTo>
                                <a:pt x="1723644" y="0"/>
                              </a:moveTo>
                              <a:lnTo>
                                <a:pt x="1092708" y="0"/>
                              </a:lnTo>
                              <a:lnTo>
                                <a:pt x="1083564" y="0"/>
                              </a:lnTo>
                              <a:lnTo>
                                <a:pt x="0" y="0"/>
                              </a:lnTo>
                              <a:lnTo>
                                <a:pt x="0" y="38100"/>
                              </a:lnTo>
                              <a:lnTo>
                                <a:pt x="1083564" y="38100"/>
                              </a:lnTo>
                              <a:lnTo>
                                <a:pt x="1092708" y="38100"/>
                              </a:lnTo>
                              <a:lnTo>
                                <a:pt x="1723644" y="38100"/>
                              </a:lnTo>
                              <a:lnTo>
                                <a:pt x="17236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0.580017pt;margin-top:13.616493pt;width:135.75pt;height:3pt;mso-position-horizontal-relative:page;mso-position-vertical-relative:paragraph;z-index:-15707136;mso-wrap-distance-left:0;mso-wrap-distance-right:0" id="docshape85" coordorigin="8212,272" coordsize="2715,60" path="m10926,272l9932,272,9918,272,8212,272,8212,332,9918,332,9932,332,10926,332,10926,272xe" filled="true" fillcolor="#000000" stroked="false">
                <v:path arrowok="t"/>
                <v:fill type="solid"/>
                <w10:wrap type="topAndBottom"/>
              </v:shape>
            </w:pict>
          </mc:Fallback>
        </mc:AlternateContent>
      </w:r>
      <w:r>
        <w:rPr>
          <w:spacing w:val="-2"/>
          <w:sz w:val="18"/>
        </w:rPr>
        <w:t>(229)</w:t>
      </w:r>
      <w:r>
        <w:rPr>
          <w:sz w:val="18"/>
        </w:rPr>
        <w:tab/>
      </w:r>
      <w:r>
        <w:rPr>
          <w:spacing w:val="-2"/>
          <w:sz w:val="18"/>
        </w:rPr>
        <w:t>3.744</w:t>
      </w:r>
    </w:p>
    <w:p>
      <w:pPr>
        <w:spacing w:before="217"/>
        <w:ind w:left="152" w:right="0" w:firstLine="0"/>
        <w:jc w:val="left"/>
        <w:rPr>
          <w:sz w:val="18"/>
        </w:rPr>
      </w:pPr>
      <w:r>
        <w:rPr>
          <w:sz w:val="18"/>
        </w:rPr>
        <w:t>(i)</w:t>
      </w:r>
      <w:r>
        <w:rPr>
          <w:spacing w:val="-3"/>
          <w:sz w:val="18"/>
        </w:rPr>
        <w:t> </w:t>
      </w:r>
      <w:r>
        <w:rPr>
          <w:sz w:val="18"/>
        </w:rPr>
        <w:t>Veja</w:t>
      </w:r>
      <w:r>
        <w:rPr>
          <w:spacing w:val="-2"/>
          <w:sz w:val="18"/>
        </w:rPr>
        <w:t> </w:t>
      </w:r>
      <w:r>
        <w:rPr>
          <w:sz w:val="18"/>
        </w:rPr>
        <w:t>nota</w:t>
      </w:r>
      <w:r>
        <w:rPr>
          <w:spacing w:val="-1"/>
          <w:sz w:val="18"/>
        </w:rPr>
        <w:t> </w:t>
      </w:r>
      <w:r>
        <w:rPr>
          <w:sz w:val="18"/>
        </w:rPr>
        <w:t>14</w:t>
      </w:r>
      <w:r>
        <w:rPr>
          <w:spacing w:val="-1"/>
          <w:sz w:val="18"/>
        </w:rPr>
        <w:t> </w:t>
      </w:r>
      <w:r>
        <w:rPr>
          <w:spacing w:val="-2"/>
          <w:sz w:val="18"/>
        </w:rPr>
        <w:t>(iii).</w:t>
      </w:r>
    </w:p>
    <w:p>
      <w:pPr>
        <w:pStyle w:val="BodyText"/>
        <w:spacing w:before="19"/>
        <w:rPr>
          <w:sz w:val="18"/>
        </w:rPr>
      </w:pPr>
    </w:p>
    <w:p>
      <w:pPr>
        <w:pStyle w:val="ListParagraph"/>
        <w:numPr>
          <w:ilvl w:val="1"/>
          <w:numId w:val="9"/>
        </w:numPr>
        <w:tabs>
          <w:tab w:pos="718" w:val="left" w:leader="none"/>
        </w:tabs>
        <w:spacing w:line="240" w:lineRule="auto" w:before="1" w:after="0"/>
        <w:ind w:left="718" w:right="0" w:hanging="568"/>
        <w:jc w:val="left"/>
        <w:rPr>
          <w:b/>
          <w:sz w:val="24"/>
        </w:rPr>
      </w:pPr>
      <w:r>
        <w:rPr>
          <w:b/>
          <w:sz w:val="24"/>
        </w:rPr>
        <w:t>Remuneração</w:t>
      </w:r>
      <w:r>
        <w:rPr>
          <w:b/>
          <w:spacing w:val="-2"/>
          <w:sz w:val="24"/>
        </w:rPr>
        <w:t> </w:t>
      </w:r>
      <w:r>
        <w:rPr>
          <w:b/>
          <w:sz w:val="24"/>
        </w:rPr>
        <w:t>da</w:t>
      </w:r>
      <w:r>
        <w:rPr>
          <w:b/>
          <w:spacing w:val="-2"/>
          <w:sz w:val="24"/>
        </w:rPr>
        <w:t> </w:t>
      </w:r>
      <w:r>
        <w:rPr>
          <w:b/>
          <w:sz w:val="24"/>
        </w:rPr>
        <w:t>administração</w:t>
      </w:r>
      <w:r>
        <w:rPr>
          <w:b/>
          <w:spacing w:val="-1"/>
          <w:sz w:val="24"/>
        </w:rPr>
        <w:t> </w:t>
      </w:r>
      <w:r>
        <w:rPr>
          <w:b/>
          <w:sz w:val="24"/>
        </w:rPr>
        <w:t>da</w:t>
      </w:r>
      <w:r>
        <w:rPr>
          <w:b/>
          <w:spacing w:val="-4"/>
          <w:sz w:val="24"/>
        </w:rPr>
        <w:t> </w:t>
      </w:r>
      <w:r>
        <w:rPr>
          <w:b/>
          <w:spacing w:val="-2"/>
          <w:sz w:val="24"/>
        </w:rPr>
        <w:t>Companhia</w:t>
      </w:r>
    </w:p>
    <w:p>
      <w:pPr>
        <w:pStyle w:val="BodyText"/>
        <w:spacing w:before="240"/>
        <w:ind w:left="151"/>
      </w:pPr>
      <w:r>
        <w:rPr/>
        <w:t>Os</w:t>
      </w:r>
      <w:r>
        <w:rPr>
          <w:spacing w:val="-3"/>
        </w:rPr>
        <w:t> </w:t>
      </w:r>
      <w:r>
        <w:rPr/>
        <w:t>Membros</w:t>
      </w:r>
      <w:r>
        <w:rPr>
          <w:spacing w:val="-1"/>
        </w:rPr>
        <w:t> </w:t>
      </w:r>
      <w:r>
        <w:rPr/>
        <w:t>da</w:t>
      </w:r>
      <w:r>
        <w:rPr>
          <w:spacing w:val="-3"/>
        </w:rPr>
        <w:t> </w:t>
      </w:r>
      <w:r>
        <w:rPr/>
        <w:t>Diretoria</w:t>
      </w:r>
      <w:r>
        <w:rPr>
          <w:spacing w:val="-3"/>
        </w:rPr>
        <w:t> </w:t>
      </w:r>
      <w:r>
        <w:rPr/>
        <w:t>exercem</w:t>
      </w:r>
      <w:r>
        <w:rPr>
          <w:spacing w:val="-4"/>
        </w:rPr>
        <w:t> </w:t>
      </w:r>
      <w:r>
        <w:rPr/>
        <w:t>funções</w:t>
      </w:r>
      <w:r>
        <w:rPr>
          <w:spacing w:val="-2"/>
        </w:rPr>
        <w:t> </w:t>
      </w:r>
      <w:r>
        <w:rPr/>
        <w:t>gerenciais</w:t>
      </w:r>
      <w:r>
        <w:rPr>
          <w:spacing w:val="-1"/>
        </w:rPr>
        <w:t> </w:t>
      </w:r>
      <w:r>
        <w:rPr/>
        <w:t>na</w:t>
      </w:r>
      <w:r>
        <w:rPr>
          <w:spacing w:val="-3"/>
        </w:rPr>
        <w:t> </w:t>
      </w:r>
      <w:r>
        <w:rPr/>
        <w:t>Controladora</w:t>
      </w:r>
      <w:r>
        <w:rPr>
          <w:spacing w:val="-3"/>
        </w:rPr>
        <w:t> </w:t>
      </w:r>
      <w:r>
        <w:rPr/>
        <w:t>Petrobras</w:t>
      </w:r>
      <w:r>
        <w:rPr>
          <w:spacing w:val="-2"/>
        </w:rPr>
        <w:t> </w:t>
      </w:r>
      <w:r>
        <w:rPr/>
        <w:t>e</w:t>
      </w:r>
      <w:r>
        <w:rPr>
          <w:spacing w:val="-3"/>
        </w:rPr>
        <w:t> </w:t>
      </w:r>
      <w:r>
        <w:rPr/>
        <w:t>não</w:t>
      </w:r>
      <w:r>
        <w:rPr>
          <w:spacing w:val="-2"/>
        </w:rPr>
        <w:t> </w:t>
      </w:r>
      <w:r>
        <w:rPr/>
        <w:t>recebem</w:t>
      </w:r>
      <w:r>
        <w:rPr>
          <w:spacing w:val="-3"/>
        </w:rPr>
        <w:t> </w:t>
      </w:r>
      <w:r>
        <w:rPr/>
        <w:t>verbas remuneratórias da Companhia.</w:t>
      </w:r>
    </w:p>
    <w:p>
      <w:pPr>
        <w:pStyle w:val="BodyText"/>
        <w:spacing w:before="240"/>
        <w:ind w:left="151"/>
      </w:pPr>
      <w:r>
        <w:rPr/>
        <w:t>Para</w:t>
      </w:r>
      <w:r>
        <w:rPr>
          <w:spacing w:val="-3"/>
        </w:rPr>
        <w:t> </w:t>
      </w:r>
      <w:r>
        <w:rPr/>
        <w:t>os</w:t>
      </w:r>
      <w:r>
        <w:rPr>
          <w:spacing w:val="-2"/>
        </w:rPr>
        <w:t> </w:t>
      </w:r>
      <w:r>
        <w:rPr/>
        <w:t>exercícios</w:t>
      </w:r>
      <w:r>
        <w:rPr>
          <w:spacing w:val="-3"/>
        </w:rPr>
        <w:t> </w:t>
      </w:r>
      <w:r>
        <w:rPr/>
        <w:t>findos</w:t>
      </w:r>
      <w:r>
        <w:rPr>
          <w:spacing w:val="-2"/>
        </w:rPr>
        <w:t> </w:t>
      </w:r>
      <w:r>
        <w:rPr/>
        <w:t>em</w:t>
      </w:r>
      <w:r>
        <w:rPr>
          <w:spacing w:val="-3"/>
        </w:rPr>
        <w:t> </w:t>
      </w:r>
      <w:r>
        <w:rPr/>
        <w:t>31</w:t>
      </w:r>
      <w:r>
        <w:rPr>
          <w:spacing w:val="-3"/>
        </w:rPr>
        <w:t> </w:t>
      </w:r>
      <w:r>
        <w:rPr/>
        <w:t>de</w:t>
      </w:r>
      <w:r>
        <w:rPr>
          <w:spacing w:val="-3"/>
        </w:rPr>
        <w:t> </w:t>
      </w:r>
      <w:r>
        <w:rPr/>
        <w:t>dezembro</w:t>
      </w:r>
      <w:r>
        <w:rPr>
          <w:spacing w:val="-2"/>
        </w:rPr>
        <w:t> </w:t>
      </w:r>
      <w:r>
        <w:rPr/>
        <w:t>de</w:t>
      </w:r>
      <w:r>
        <w:rPr>
          <w:spacing w:val="-2"/>
        </w:rPr>
        <w:t> </w:t>
      </w:r>
      <w:r>
        <w:rPr/>
        <w:t>2022</w:t>
      </w:r>
      <w:r>
        <w:rPr>
          <w:spacing w:val="-3"/>
        </w:rPr>
        <w:t> </w:t>
      </w:r>
      <w:r>
        <w:rPr/>
        <w:t>e</w:t>
      </w:r>
      <w:r>
        <w:rPr>
          <w:spacing w:val="-3"/>
        </w:rPr>
        <w:t> </w:t>
      </w:r>
      <w:r>
        <w:rPr/>
        <w:t>2021,</w:t>
      </w:r>
      <w:r>
        <w:rPr>
          <w:spacing w:val="-3"/>
        </w:rPr>
        <w:t> </w:t>
      </w:r>
      <w:r>
        <w:rPr/>
        <w:t>não</w:t>
      </w:r>
      <w:r>
        <w:rPr>
          <w:spacing w:val="-1"/>
        </w:rPr>
        <w:t> </w:t>
      </w:r>
      <w:r>
        <w:rPr/>
        <w:t>existiam</w:t>
      </w:r>
      <w:r>
        <w:rPr>
          <w:spacing w:val="-3"/>
        </w:rPr>
        <w:t> </w:t>
      </w:r>
      <w:r>
        <w:rPr/>
        <w:t>funcionários</w:t>
      </w:r>
      <w:r>
        <w:rPr>
          <w:spacing w:val="-3"/>
        </w:rPr>
        <w:t> </w:t>
      </w:r>
      <w:r>
        <w:rPr/>
        <w:t>contratados,</w:t>
      </w:r>
      <w:r>
        <w:rPr>
          <w:spacing w:val="-3"/>
        </w:rPr>
        <w:t> </w:t>
      </w:r>
      <w:r>
        <w:rPr/>
        <w:t>em</w:t>
      </w:r>
      <w:r>
        <w:rPr>
          <w:spacing w:val="-2"/>
        </w:rPr>
        <w:t> </w:t>
      </w:r>
      <w:r>
        <w:rPr/>
        <w:t>face</w:t>
      </w:r>
      <w:r>
        <w:rPr>
          <w:spacing w:val="-3"/>
        </w:rPr>
        <w:t> </w:t>
      </w:r>
      <w:r>
        <w:rPr/>
        <w:t>da hibernação da planta industrial, ocorrida no primeiro trimestre de 2020.</w:t>
      </w:r>
    </w:p>
    <w:p>
      <w:pPr>
        <w:spacing w:after="0"/>
        <w:sectPr>
          <w:pgSz w:w="11910" w:h="16840"/>
          <w:pgMar w:header="637" w:footer="630" w:top="1800" w:bottom="820" w:left="700" w:right="480"/>
        </w:sectPr>
      </w:pPr>
    </w:p>
    <w:p>
      <w:pPr>
        <w:pStyle w:val="BodyText"/>
        <w:spacing w:before="210"/>
        <w:rPr>
          <w:sz w:val="26"/>
        </w:rPr>
      </w:pPr>
    </w:p>
    <w:p>
      <w:pPr>
        <w:pStyle w:val="Heading3"/>
        <w:numPr>
          <w:ilvl w:val="0"/>
          <w:numId w:val="9"/>
        </w:numPr>
        <w:tabs>
          <w:tab w:pos="718" w:val="left" w:leader="none"/>
        </w:tabs>
        <w:spacing w:line="240" w:lineRule="auto" w:before="0" w:after="0"/>
        <w:ind w:left="718" w:right="0" w:hanging="568"/>
        <w:jc w:val="left"/>
      </w:pPr>
      <w:bookmarkStart w:name="_TOC_250007" w:id="18"/>
      <w:bookmarkEnd w:id="18"/>
      <w:r>
        <w:rPr>
          <w:spacing w:val="-2"/>
        </w:rPr>
        <w:t>Tributos</w:t>
      </w:r>
    </w:p>
    <w:p>
      <w:pPr>
        <w:pStyle w:val="ListParagraph"/>
        <w:numPr>
          <w:ilvl w:val="1"/>
          <w:numId w:val="9"/>
        </w:numPr>
        <w:tabs>
          <w:tab w:pos="713" w:val="left" w:leader="none"/>
        </w:tabs>
        <w:spacing w:line="240" w:lineRule="auto" w:before="238" w:after="0"/>
        <w:ind w:left="713" w:right="0" w:hanging="563"/>
        <w:jc w:val="left"/>
        <w:rPr>
          <w:b/>
          <w:sz w:val="24"/>
        </w:rPr>
      </w:pPr>
      <w:r>
        <w:rPr>
          <w:b/>
          <w:sz w:val="24"/>
        </w:rPr>
        <w:t>Tributos</w:t>
      </w:r>
      <w:r>
        <w:rPr>
          <w:b/>
          <w:spacing w:val="-8"/>
          <w:sz w:val="24"/>
        </w:rPr>
        <w:t> </w:t>
      </w:r>
      <w:r>
        <w:rPr>
          <w:b/>
          <w:spacing w:val="-2"/>
          <w:sz w:val="24"/>
        </w:rPr>
        <w:t>correntes</w:t>
      </w:r>
    </w:p>
    <w:p>
      <w:pPr>
        <w:pStyle w:val="BodyText"/>
        <w:spacing w:before="84"/>
        <w:rPr>
          <w:b/>
          <w:sz w:val="18"/>
        </w:rPr>
      </w:pPr>
    </w:p>
    <w:p>
      <w:pPr>
        <w:tabs>
          <w:tab w:pos="8422" w:val="left" w:leader="none"/>
        </w:tabs>
        <w:spacing w:before="0"/>
        <w:ind w:left="219" w:right="0" w:firstLine="0"/>
        <w:jc w:val="left"/>
        <w:rPr>
          <w:b/>
          <w:sz w:val="18"/>
        </w:rPr>
      </w:pPr>
      <w:r>
        <w:rPr>
          <w:b/>
          <w:sz w:val="18"/>
        </w:rPr>
        <w:t>Imposto</w:t>
      </w:r>
      <w:r>
        <w:rPr>
          <w:b/>
          <w:spacing w:val="-4"/>
          <w:sz w:val="18"/>
        </w:rPr>
        <w:t> </w:t>
      </w:r>
      <w:r>
        <w:rPr>
          <w:b/>
          <w:sz w:val="18"/>
        </w:rPr>
        <w:t>de</w:t>
      </w:r>
      <w:r>
        <w:rPr>
          <w:b/>
          <w:spacing w:val="-2"/>
          <w:sz w:val="18"/>
        </w:rPr>
        <w:t> </w:t>
      </w:r>
      <w:r>
        <w:rPr>
          <w:b/>
          <w:sz w:val="18"/>
        </w:rPr>
        <w:t>renda</w:t>
      </w:r>
      <w:r>
        <w:rPr>
          <w:b/>
          <w:spacing w:val="-2"/>
          <w:sz w:val="18"/>
        </w:rPr>
        <w:t> </w:t>
      </w:r>
      <w:r>
        <w:rPr>
          <w:b/>
          <w:sz w:val="18"/>
        </w:rPr>
        <w:t>e</w:t>
      </w:r>
      <w:r>
        <w:rPr>
          <w:b/>
          <w:spacing w:val="-1"/>
          <w:sz w:val="18"/>
        </w:rPr>
        <w:t> </w:t>
      </w:r>
      <w:r>
        <w:rPr>
          <w:b/>
          <w:sz w:val="18"/>
        </w:rPr>
        <w:t>contribuição</w:t>
      </w:r>
      <w:r>
        <w:rPr>
          <w:b/>
          <w:spacing w:val="-1"/>
          <w:sz w:val="18"/>
        </w:rPr>
        <w:t> </w:t>
      </w:r>
      <w:r>
        <w:rPr>
          <w:b/>
          <w:spacing w:val="-2"/>
          <w:sz w:val="18"/>
        </w:rPr>
        <w:t>social</w:t>
      </w:r>
      <w:r>
        <w:rPr>
          <w:b/>
          <w:sz w:val="18"/>
        </w:rPr>
        <w:tab/>
      </w:r>
      <w:r>
        <w:rPr>
          <w:b/>
          <w:sz w:val="18"/>
          <w:u w:val="single"/>
        </w:rPr>
        <w:t>Ativo</w:t>
      </w:r>
      <w:r>
        <w:rPr>
          <w:b/>
          <w:spacing w:val="-9"/>
          <w:sz w:val="18"/>
          <w:u w:val="single"/>
        </w:rPr>
        <w:t> </w:t>
      </w:r>
      <w:r>
        <w:rPr>
          <w:b/>
          <w:spacing w:val="-2"/>
          <w:sz w:val="18"/>
          <w:u w:val="single"/>
        </w:rPr>
        <w:t>Circulante</w:t>
      </w:r>
    </w:p>
    <w:p>
      <w:pPr>
        <w:tabs>
          <w:tab w:pos="8973" w:val="left" w:leader="none"/>
          <w:tab w:pos="10013" w:val="left" w:leader="none"/>
        </w:tabs>
        <w:spacing w:before="39"/>
        <w:ind w:left="8389" w:right="0" w:firstLine="0"/>
        <w:jc w:val="left"/>
        <w:rPr>
          <w:b/>
          <w:sz w:val="18"/>
        </w:rPr>
      </w:pPr>
      <w:r>
        <w:rPr>
          <w:rFonts w:ascii="Times New Roman"/>
          <w:sz w:val="18"/>
          <w:u w:val="thick"/>
        </w:rPr>
        <w:tab/>
      </w:r>
      <w:r>
        <w:rPr>
          <w:b/>
          <w:spacing w:val="-4"/>
          <w:sz w:val="18"/>
          <w:u w:val="thick"/>
        </w:rPr>
        <w:t>2022</w:t>
      </w:r>
      <w:r>
        <w:rPr>
          <w:b/>
          <w:sz w:val="18"/>
          <w:u w:val="thick"/>
        </w:rPr>
        <w:tab/>
      </w:r>
      <w:r>
        <w:rPr>
          <w:b/>
          <w:spacing w:val="-4"/>
          <w:sz w:val="18"/>
          <w:u w:val="thick"/>
        </w:rPr>
        <w:t>2021</w:t>
      </w:r>
    </w:p>
    <w:p>
      <w:pPr>
        <w:tabs>
          <w:tab w:pos="8929" w:val="left" w:leader="none"/>
          <w:tab w:pos="10318" w:val="right" w:leader="none"/>
        </w:tabs>
        <w:spacing w:before="34"/>
        <w:ind w:left="219" w:right="0" w:firstLine="0"/>
        <w:jc w:val="left"/>
        <w:rPr>
          <w:sz w:val="18"/>
        </w:rPr>
      </w:pPr>
      <w:r>
        <w:rPr>
          <w:sz w:val="18"/>
        </w:rPr>
        <w:t>Imposto de </w:t>
      </w:r>
      <w:r>
        <w:rPr>
          <w:spacing w:val="-2"/>
          <w:sz w:val="18"/>
        </w:rPr>
        <w:t>renda</w:t>
      </w:r>
      <w:r>
        <w:rPr>
          <w:sz w:val="18"/>
        </w:rPr>
        <w:tab/>
      </w:r>
      <w:r>
        <w:rPr>
          <w:spacing w:val="-2"/>
          <w:sz w:val="18"/>
        </w:rPr>
        <w:t>7.808</w:t>
      </w:r>
      <w:r>
        <w:rPr>
          <w:rFonts w:ascii="Times New Roman"/>
          <w:sz w:val="18"/>
        </w:rPr>
        <w:tab/>
      </w:r>
      <w:r>
        <w:rPr>
          <w:spacing w:val="-4"/>
          <w:sz w:val="18"/>
        </w:rPr>
        <w:t>6.486</w:t>
      </w:r>
    </w:p>
    <w:p>
      <w:pPr>
        <w:tabs>
          <w:tab w:pos="8398" w:val="left" w:leader="none"/>
          <w:tab w:pos="9246" w:val="left" w:leader="none"/>
          <w:tab w:pos="10287" w:val="left" w:leader="none"/>
        </w:tabs>
        <w:spacing w:before="51"/>
        <w:ind w:left="219" w:right="0" w:firstLine="0"/>
        <w:jc w:val="left"/>
        <w:rPr>
          <w:sz w:val="18"/>
        </w:rPr>
      </w:pPr>
      <w:r>
        <w:rPr>
          <w:spacing w:val="-2"/>
          <w:sz w:val="18"/>
        </w:rPr>
        <w:t>Contribuição</w:t>
      </w:r>
      <w:r>
        <w:rPr>
          <w:spacing w:val="13"/>
          <w:sz w:val="18"/>
        </w:rPr>
        <w:t> </w:t>
      </w:r>
      <w:r>
        <w:rPr>
          <w:spacing w:val="-2"/>
          <w:sz w:val="18"/>
        </w:rPr>
        <w:t>social</w:t>
      </w:r>
      <w:r>
        <w:rPr>
          <w:sz w:val="18"/>
        </w:rPr>
        <w:tab/>
      </w:r>
      <w:r>
        <w:rPr>
          <w:rFonts w:ascii="Times New Roman" w:hAnsi="Times New Roman"/>
          <w:sz w:val="18"/>
          <w:u w:val="thick"/>
        </w:rPr>
        <w:tab/>
      </w:r>
      <w:r>
        <w:rPr>
          <w:spacing w:val="-10"/>
          <w:sz w:val="18"/>
          <w:u w:val="thick"/>
        </w:rPr>
        <w:t>8</w:t>
      </w:r>
      <w:r>
        <w:rPr>
          <w:sz w:val="18"/>
          <w:u w:val="thick"/>
        </w:rPr>
        <w:tab/>
      </w:r>
      <w:r>
        <w:rPr>
          <w:spacing w:val="-10"/>
          <w:sz w:val="18"/>
          <w:u w:val="thick"/>
        </w:rPr>
        <w:t>5</w:t>
      </w:r>
      <w:r>
        <w:rPr>
          <w:spacing w:val="80"/>
          <w:sz w:val="18"/>
          <w:u w:val="thick"/>
        </w:rPr>
        <w:t> </w:t>
      </w:r>
    </w:p>
    <w:p>
      <w:pPr>
        <w:tabs>
          <w:tab w:pos="9907" w:val="left" w:leader="none"/>
        </w:tabs>
        <w:spacing w:before="49" w:after="3"/>
        <w:ind w:left="8930" w:right="0" w:firstLine="0"/>
        <w:jc w:val="left"/>
        <w:rPr>
          <w:sz w:val="18"/>
        </w:rPr>
      </w:pPr>
      <w:r>
        <w:rPr>
          <w:spacing w:val="-2"/>
          <w:sz w:val="18"/>
        </w:rPr>
        <w:t>7.816</w:t>
      </w:r>
      <w:r>
        <w:rPr>
          <w:sz w:val="18"/>
        </w:rPr>
        <w:tab/>
      </w:r>
      <w:r>
        <w:rPr>
          <w:spacing w:val="-2"/>
          <w:sz w:val="18"/>
        </w:rPr>
        <w:t>6.491</w:t>
      </w:r>
    </w:p>
    <w:p>
      <w:pPr>
        <w:pStyle w:val="BodyText"/>
        <w:spacing w:line="60" w:lineRule="exact"/>
        <w:ind w:left="8411"/>
        <w:rPr>
          <w:sz w:val="6"/>
        </w:rPr>
      </w:pPr>
      <w:r>
        <w:rPr>
          <w:position w:val="0"/>
          <w:sz w:val="6"/>
        </w:rPr>
        <mc:AlternateContent>
          <mc:Choice Requires="wps">
            <w:drawing>
              <wp:inline distT="0" distB="0" distL="0" distR="0">
                <wp:extent cx="1247775" cy="38100"/>
                <wp:effectExtent l="0" t="0" r="0" b="0"/>
                <wp:docPr id="113" name="Group 113"/>
                <wp:cNvGraphicFramePr>
                  <a:graphicFrameLocks/>
                </wp:cNvGraphicFramePr>
                <a:graphic>
                  <a:graphicData uri="http://schemas.microsoft.com/office/word/2010/wordprocessingGroup">
                    <wpg:wgp>
                      <wpg:cNvPr id="113" name="Group 113"/>
                      <wpg:cNvGrpSpPr/>
                      <wpg:grpSpPr>
                        <a:xfrm>
                          <a:off x="0" y="0"/>
                          <a:ext cx="1247775" cy="38100"/>
                          <a:chExt cx="1247775" cy="38100"/>
                        </a:xfrm>
                      </wpg:grpSpPr>
                      <wps:wsp>
                        <wps:cNvPr id="114" name="Graphic 114"/>
                        <wps:cNvSpPr/>
                        <wps:spPr>
                          <a:xfrm>
                            <a:off x="0" y="0"/>
                            <a:ext cx="1247775" cy="38100"/>
                          </a:xfrm>
                          <a:custGeom>
                            <a:avLst/>
                            <a:gdLst/>
                            <a:ahLst/>
                            <a:cxnLst/>
                            <a:rect l="l" t="t" r="r" b="b"/>
                            <a:pathLst>
                              <a:path w="1247775" h="38100">
                                <a:moveTo>
                                  <a:pt x="1247393" y="0"/>
                                </a:moveTo>
                                <a:lnTo>
                                  <a:pt x="0" y="0"/>
                                </a:lnTo>
                                <a:lnTo>
                                  <a:pt x="0" y="38100"/>
                                </a:lnTo>
                                <a:lnTo>
                                  <a:pt x="1247393" y="38100"/>
                                </a:lnTo>
                                <a:lnTo>
                                  <a:pt x="124739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98.25pt;height:3pt;mso-position-horizontal-relative:char;mso-position-vertical-relative:line" id="docshapegroup86" coordorigin="0,0" coordsize="1965,60">
                <v:rect style="position:absolute;left:0;top:0;width:1965;height:60" id="docshape87" filled="true" fillcolor="#000000" stroked="false">
                  <v:fill type="solid"/>
                </v:rect>
              </v:group>
            </w:pict>
          </mc:Fallback>
        </mc:AlternateContent>
      </w:r>
      <w:r>
        <w:rPr>
          <w:position w:val="0"/>
          <w:sz w:val="6"/>
        </w:rPr>
      </w:r>
    </w:p>
    <w:p>
      <w:pPr>
        <w:pStyle w:val="BodyText"/>
        <w:spacing w:before="133"/>
        <w:rPr>
          <w:sz w:val="18"/>
        </w:rPr>
      </w:pPr>
    </w:p>
    <w:p>
      <w:pPr>
        <w:tabs>
          <w:tab w:pos="4494" w:val="left" w:leader="none"/>
          <w:tab w:pos="6473" w:val="left" w:leader="none"/>
          <w:tab w:pos="8422" w:val="left" w:leader="none"/>
        </w:tabs>
        <w:spacing w:before="0"/>
        <w:ind w:left="219" w:right="0" w:firstLine="0"/>
        <w:jc w:val="left"/>
        <w:rPr>
          <w:b/>
          <w:sz w:val="18"/>
        </w:rPr>
      </w:pPr>
      <w:r>
        <w:rPr>
          <w:b/>
          <w:sz w:val="18"/>
        </w:rPr>
        <w:t>Demais</w:t>
      </w:r>
      <w:r>
        <w:rPr>
          <w:b/>
          <w:spacing w:val="-2"/>
          <w:sz w:val="18"/>
        </w:rPr>
        <w:t> </w:t>
      </w:r>
      <w:r>
        <w:rPr>
          <w:b/>
          <w:sz w:val="18"/>
        </w:rPr>
        <w:t>impostos</w:t>
      </w:r>
      <w:r>
        <w:rPr>
          <w:b/>
          <w:spacing w:val="-2"/>
          <w:sz w:val="18"/>
        </w:rPr>
        <w:t> </w:t>
      </w:r>
      <w:r>
        <w:rPr>
          <w:b/>
          <w:sz w:val="18"/>
        </w:rPr>
        <w:t>e</w:t>
      </w:r>
      <w:r>
        <w:rPr>
          <w:b/>
          <w:spacing w:val="-1"/>
          <w:sz w:val="18"/>
        </w:rPr>
        <w:t> </w:t>
      </w:r>
      <w:r>
        <w:rPr>
          <w:b/>
          <w:spacing w:val="-2"/>
          <w:sz w:val="18"/>
        </w:rPr>
        <w:t>contribuições</w:t>
      </w:r>
      <w:r>
        <w:rPr>
          <w:b/>
          <w:sz w:val="18"/>
        </w:rPr>
        <w:tab/>
        <w:t>Ativo</w:t>
      </w:r>
      <w:r>
        <w:rPr>
          <w:b/>
          <w:spacing w:val="-9"/>
          <w:sz w:val="18"/>
        </w:rPr>
        <w:t> </w:t>
      </w:r>
      <w:r>
        <w:rPr>
          <w:b/>
          <w:spacing w:val="-2"/>
          <w:sz w:val="18"/>
        </w:rPr>
        <w:t>Circulante</w:t>
      </w:r>
      <w:r>
        <w:rPr>
          <w:b/>
          <w:sz w:val="18"/>
        </w:rPr>
        <w:tab/>
        <w:t>Ativo</w:t>
      </w:r>
      <w:r>
        <w:rPr>
          <w:b/>
          <w:spacing w:val="-4"/>
          <w:sz w:val="18"/>
        </w:rPr>
        <w:t> </w:t>
      </w:r>
      <w:r>
        <w:rPr>
          <w:b/>
          <w:sz w:val="18"/>
        </w:rPr>
        <w:t>não</w:t>
      </w:r>
      <w:r>
        <w:rPr>
          <w:b/>
          <w:spacing w:val="-10"/>
          <w:sz w:val="18"/>
        </w:rPr>
        <w:t> </w:t>
      </w:r>
      <w:r>
        <w:rPr>
          <w:b/>
          <w:spacing w:val="-2"/>
          <w:sz w:val="18"/>
        </w:rPr>
        <w:t>Circulante</w:t>
      </w:r>
      <w:r>
        <w:rPr>
          <w:b/>
          <w:sz w:val="18"/>
        </w:rPr>
        <w:tab/>
        <w:t>Passivo</w:t>
      </w:r>
      <w:r>
        <w:rPr>
          <w:b/>
          <w:spacing w:val="-10"/>
          <w:sz w:val="18"/>
        </w:rPr>
        <w:t> </w:t>
      </w:r>
      <w:r>
        <w:rPr>
          <w:b/>
          <w:spacing w:val="-2"/>
          <w:sz w:val="18"/>
        </w:rPr>
        <w:t>Circulante</w:t>
      </w: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03"/>
        <w:gridCol w:w="1255"/>
        <w:gridCol w:w="921"/>
        <w:gridCol w:w="931"/>
        <w:gridCol w:w="1087"/>
        <w:gridCol w:w="1003"/>
        <w:gridCol w:w="715"/>
      </w:tblGrid>
      <w:tr>
        <w:trPr>
          <w:trHeight w:val="218" w:hRule="atLeast"/>
        </w:trPr>
        <w:tc>
          <w:tcPr>
            <w:tcW w:w="4303" w:type="dxa"/>
          </w:tcPr>
          <w:p>
            <w:pPr>
              <w:pStyle w:val="TableParagraph"/>
              <w:rPr>
                <w:rFonts w:ascii="Times New Roman"/>
                <w:sz w:val="14"/>
              </w:rPr>
            </w:pPr>
          </w:p>
        </w:tc>
        <w:tc>
          <w:tcPr>
            <w:tcW w:w="1255" w:type="dxa"/>
            <w:tcBorders>
              <w:top w:val="single" w:sz="24" w:space="0" w:color="000000"/>
              <w:bottom w:val="single" w:sz="18" w:space="0" w:color="000000"/>
            </w:tcBorders>
          </w:tcPr>
          <w:p>
            <w:pPr>
              <w:pStyle w:val="TableParagraph"/>
              <w:spacing w:line="164" w:lineRule="exact" w:before="21"/>
              <w:ind w:right="317"/>
              <w:jc w:val="right"/>
              <w:rPr>
                <w:b/>
                <w:sz w:val="18"/>
              </w:rPr>
            </w:pPr>
            <w:r>
              <w:rPr>
                <w:b/>
                <w:spacing w:val="-4"/>
                <w:sz w:val="18"/>
              </w:rPr>
              <w:t>2022</w:t>
            </w:r>
          </w:p>
        </w:tc>
        <w:tc>
          <w:tcPr>
            <w:tcW w:w="921" w:type="dxa"/>
            <w:tcBorders>
              <w:top w:val="single" w:sz="24" w:space="0" w:color="000000"/>
              <w:bottom w:val="single" w:sz="18" w:space="0" w:color="000000"/>
            </w:tcBorders>
          </w:tcPr>
          <w:p>
            <w:pPr>
              <w:pStyle w:val="TableParagraph"/>
              <w:spacing w:line="164" w:lineRule="exact" w:before="21"/>
              <w:ind w:right="232"/>
              <w:jc w:val="right"/>
              <w:rPr>
                <w:b/>
                <w:sz w:val="18"/>
              </w:rPr>
            </w:pPr>
            <w:r>
              <w:rPr>
                <w:b/>
                <w:spacing w:val="-4"/>
                <w:sz w:val="18"/>
              </w:rPr>
              <w:t>2021</w:t>
            </w:r>
          </w:p>
        </w:tc>
        <w:tc>
          <w:tcPr>
            <w:tcW w:w="931" w:type="dxa"/>
            <w:tcBorders>
              <w:top w:val="single" w:sz="24" w:space="0" w:color="000000"/>
              <w:bottom w:val="single" w:sz="18" w:space="0" w:color="000000"/>
            </w:tcBorders>
          </w:tcPr>
          <w:p>
            <w:pPr>
              <w:pStyle w:val="TableParagraph"/>
              <w:spacing w:line="164" w:lineRule="exact" w:before="21"/>
              <w:ind w:right="187"/>
              <w:jc w:val="right"/>
              <w:rPr>
                <w:b/>
                <w:sz w:val="18"/>
              </w:rPr>
            </w:pPr>
            <w:r>
              <w:rPr>
                <w:b/>
                <w:spacing w:val="-4"/>
                <w:sz w:val="18"/>
              </w:rPr>
              <w:t>2022</w:t>
            </w:r>
          </w:p>
        </w:tc>
        <w:tc>
          <w:tcPr>
            <w:tcW w:w="1087" w:type="dxa"/>
            <w:tcBorders>
              <w:top w:val="single" w:sz="24" w:space="0" w:color="000000"/>
              <w:bottom w:val="single" w:sz="18" w:space="0" w:color="000000"/>
            </w:tcBorders>
          </w:tcPr>
          <w:p>
            <w:pPr>
              <w:pStyle w:val="TableParagraph"/>
              <w:spacing w:line="164" w:lineRule="exact" w:before="21"/>
              <w:ind w:right="301"/>
              <w:jc w:val="right"/>
              <w:rPr>
                <w:b/>
                <w:sz w:val="18"/>
              </w:rPr>
            </w:pPr>
            <w:r>
              <w:rPr>
                <w:b/>
                <w:spacing w:val="-4"/>
                <w:sz w:val="18"/>
              </w:rPr>
              <w:t>2021</w:t>
            </w:r>
          </w:p>
        </w:tc>
        <w:tc>
          <w:tcPr>
            <w:tcW w:w="1003" w:type="dxa"/>
            <w:tcBorders>
              <w:top w:val="single" w:sz="24" w:space="0" w:color="000000"/>
              <w:bottom w:val="single" w:sz="18" w:space="0" w:color="000000"/>
            </w:tcBorders>
          </w:tcPr>
          <w:p>
            <w:pPr>
              <w:pStyle w:val="TableParagraph"/>
              <w:spacing w:line="164" w:lineRule="exact" w:before="21"/>
              <w:ind w:right="329"/>
              <w:jc w:val="right"/>
              <w:rPr>
                <w:b/>
                <w:sz w:val="18"/>
              </w:rPr>
            </w:pPr>
            <w:r>
              <w:rPr>
                <w:b/>
                <w:spacing w:val="-4"/>
                <w:sz w:val="18"/>
              </w:rPr>
              <w:t>2022</w:t>
            </w:r>
          </w:p>
        </w:tc>
        <w:tc>
          <w:tcPr>
            <w:tcW w:w="715" w:type="dxa"/>
            <w:tcBorders>
              <w:top w:val="single" w:sz="24" w:space="0" w:color="000000"/>
              <w:bottom w:val="single" w:sz="18" w:space="0" w:color="000000"/>
            </w:tcBorders>
          </w:tcPr>
          <w:p>
            <w:pPr>
              <w:pStyle w:val="TableParagraph"/>
              <w:spacing w:line="164" w:lineRule="exact" w:before="21"/>
              <w:ind w:right="6"/>
              <w:jc w:val="right"/>
              <w:rPr>
                <w:b/>
                <w:sz w:val="18"/>
              </w:rPr>
            </w:pPr>
            <w:r>
              <w:rPr>
                <w:b/>
                <w:spacing w:val="-4"/>
                <w:sz w:val="18"/>
              </w:rPr>
              <w:t>2021</w:t>
            </w:r>
          </w:p>
        </w:tc>
      </w:tr>
      <w:tr>
        <w:trPr>
          <w:trHeight w:val="291" w:hRule="atLeast"/>
        </w:trPr>
        <w:tc>
          <w:tcPr>
            <w:tcW w:w="4303" w:type="dxa"/>
          </w:tcPr>
          <w:p>
            <w:pPr>
              <w:pStyle w:val="TableParagraph"/>
              <w:spacing w:before="27"/>
              <w:ind w:left="50"/>
              <w:rPr>
                <w:sz w:val="18"/>
              </w:rPr>
            </w:pPr>
            <w:r>
              <w:rPr>
                <w:sz w:val="18"/>
              </w:rPr>
              <w:t>ICMS</w:t>
            </w:r>
            <w:r>
              <w:rPr>
                <w:spacing w:val="-2"/>
                <w:sz w:val="18"/>
              </w:rPr>
              <w:t> </w:t>
            </w:r>
            <w:r>
              <w:rPr>
                <w:sz w:val="18"/>
              </w:rPr>
              <w:t>(i)</w:t>
            </w:r>
            <w:r>
              <w:rPr>
                <w:spacing w:val="-1"/>
                <w:sz w:val="18"/>
              </w:rPr>
              <w:t> </w:t>
            </w:r>
            <w:r>
              <w:rPr>
                <w:sz w:val="18"/>
              </w:rPr>
              <w:t>e</w:t>
            </w:r>
            <w:r>
              <w:rPr>
                <w:spacing w:val="-2"/>
                <w:sz w:val="18"/>
              </w:rPr>
              <w:t> (iii)</w:t>
            </w:r>
          </w:p>
        </w:tc>
        <w:tc>
          <w:tcPr>
            <w:tcW w:w="1255" w:type="dxa"/>
            <w:tcBorders>
              <w:top w:val="single" w:sz="18" w:space="0" w:color="000000"/>
            </w:tcBorders>
          </w:tcPr>
          <w:p>
            <w:pPr>
              <w:pStyle w:val="TableParagraph"/>
              <w:spacing w:before="40"/>
              <w:ind w:right="317"/>
              <w:jc w:val="right"/>
              <w:rPr>
                <w:sz w:val="18"/>
              </w:rPr>
            </w:pPr>
            <w:r>
              <w:rPr>
                <w:spacing w:val="-10"/>
                <w:sz w:val="18"/>
              </w:rPr>
              <w:t>‐</w:t>
            </w:r>
          </w:p>
        </w:tc>
        <w:tc>
          <w:tcPr>
            <w:tcW w:w="921" w:type="dxa"/>
            <w:tcBorders>
              <w:top w:val="single" w:sz="18" w:space="0" w:color="000000"/>
            </w:tcBorders>
          </w:tcPr>
          <w:p>
            <w:pPr>
              <w:pStyle w:val="TableParagraph"/>
              <w:spacing w:before="40"/>
              <w:ind w:right="232"/>
              <w:jc w:val="right"/>
              <w:rPr>
                <w:sz w:val="18"/>
              </w:rPr>
            </w:pPr>
            <w:r>
              <w:rPr>
                <w:spacing w:val="-10"/>
                <w:sz w:val="18"/>
              </w:rPr>
              <w:t>‐</w:t>
            </w:r>
          </w:p>
        </w:tc>
        <w:tc>
          <w:tcPr>
            <w:tcW w:w="931" w:type="dxa"/>
            <w:tcBorders>
              <w:top w:val="single" w:sz="18" w:space="0" w:color="000000"/>
            </w:tcBorders>
          </w:tcPr>
          <w:p>
            <w:pPr>
              <w:pStyle w:val="TableParagraph"/>
              <w:spacing w:before="40"/>
              <w:ind w:right="184"/>
              <w:jc w:val="right"/>
              <w:rPr>
                <w:sz w:val="18"/>
              </w:rPr>
            </w:pPr>
            <w:r>
              <w:rPr>
                <w:spacing w:val="-10"/>
                <w:sz w:val="18"/>
              </w:rPr>
              <w:t>‐</w:t>
            </w:r>
          </w:p>
        </w:tc>
        <w:tc>
          <w:tcPr>
            <w:tcW w:w="1087" w:type="dxa"/>
            <w:tcBorders>
              <w:top w:val="single" w:sz="18" w:space="0" w:color="000000"/>
            </w:tcBorders>
          </w:tcPr>
          <w:p>
            <w:pPr>
              <w:pStyle w:val="TableParagraph"/>
              <w:spacing w:before="40"/>
              <w:ind w:right="301"/>
              <w:jc w:val="right"/>
              <w:rPr>
                <w:sz w:val="18"/>
              </w:rPr>
            </w:pPr>
            <w:r>
              <w:rPr>
                <w:spacing w:val="-2"/>
                <w:sz w:val="18"/>
              </w:rPr>
              <w:t>35.054</w:t>
            </w:r>
          </w:p>
        </w:tc>
        <w:tc>
          <w:tcPr>
            <w:tcW w:w="1003" w:type="dxa"/>
            <w:tcBorders>
              <w:top w:val="single" w:sz="18" w:space="0" w:color="000000"/>
            </w:tcBorders>
          </w:tcPr>
          <w:p>
            <w:pPr>
              <w:pStyle w:val="TableParagraph"/>
              <w:spacing w:before="40"/>
              <w:ind w:right="326"/>
              <w:jc w:val="right"/>
              <w:rPr>
                <w:sz w:val="18"/>
              </w:rPr>
            </w:pPr>
            <w:r>
              <w:rPr>
                <w:spacing w:val="-10"/>
                <w:sz w:val="18"/>
              </w:rPr>
              <w:t>‐</w:t>
            </w:r>
          </w:p>
        </w:tc>
        <w:tc>
          <w:tcPr>
            <w:tcW w:w="715" w:type="dxa"/>
            <w:tcBorders>
              <w:top w:val="single" w:sz="18" w:space="0" w:color="000000"/>
            </w:tcBorders>
          </w:tcPr>
          <w:p>
            <w:pPr>
              <w:pStyle w:val="TableParagraph"/>
              <w:spacing w:before="40"/>
              <w:ind w:right="63"/>
              <w:jc w:val="right"/>
              <w:rPr>
                <w:sz w:val="18"/>
              </w:rPr>
            </w:pPr>
            <w:r>
              <w:rPr>
                <w:spacing w:val="-10"/>
                <w:sz w:val="18"/>
              </w:rPr>
              <w:t>‐</w:t>
            </w:r>
          </w:p>
        </w:tc>
      </w:tr>
      <w:tr>
        <w:trPr>
          <w:trHeight w:val="270" w:hRule="atLeast"/>
        </w:trPr>
        <w:tc>
          <w:tcPr>
            <w:tcW w:w="4303" w:type="dxa"/>
          </w:tcPr>
          <w:p>
            <w:pPr>
              <w:pStyle w:val="TableParagraph"/>
              <w:spacing w:before="6"/>
              <w:ind w:left="50"/>
              <w:rPr>
                <w:sz w:val="18"/>
              </w:rPr>
            </w:pPr>
            <w:r>
              <w:rPr>
                <w:sz w:val="18"/>
              </w:rPr>
              <w:t>PIS/COFINS</w:t>
            </w:r>
            <w:r>
              <w:rPr>
                <w:spacing w:val="-2"/>
                <w:sz w:val="18"/>
              </w:rPr>
              <w:t> </w:t>
            </w:r>
            <w:r>
              <w:rPr>
                <w:sz w:val="18"/>
              </w:rPr>
              <w:t>(ii)</w:t>
            </w:r>
            <w:r>
              <w:rPr>
                <w:spacing w:val="-1"/>
                <w:sz w:val="18"/>
              </w:rPr>
              <w:t> </w:t>
            </w:r>
            <w:r>
              <w:rPr>
                <w:sz w:val="18"/>
              </w:rPr>
              <w:t>e</w:t>
            </w:r>
            <w:r>
              <w:rPr>
                <w:spacing w:val="-1"/>
                <w:sz w:val="18"/>
              </w:rPr>
              <w:t> </w:t>
            </w:r>
            <w:r>
              <w:rPr>
                <w:spacing w:val="-2"/>
                <w:sz w:val="18"/>
              </w:rPr>
              <w:t>(iii)</w:t>
            </w:r>
          </w:p>
        </w:tc>
        <w:tc>
          <w:tcPr>
            <w:tcW w:w="1255" w:type="dxa"/>
          </w:tcPr>
          <w:p>
            <w:pPr>
              <w:pStyle w:val="TableParagraph"/>
              <w:spacing w:before="6"/>
              <w:ind w:right="317"/>
              <w:jc w:val="right"/>
              <w:rPr>
                <w:sz w:val="18"/>
              </w:rPr>
            </w:pPr>
            <w:r>
              <w:rPr>
                <w:spacing w:val="-10"/>
                <w:sz w:val="18"/>
              </w:rPr>
              <w:t>‐</w:t>
            </w:r>
          </w:p>
        </w:tc>
        <w:tc>
          <w:tcPr>
            <w:tcW w:w="921" w:type="dxa"/>
          </w:tcPr>
          <w:p>
            <w:pPr>
              <w:pStyle w:val="TableParagraph"/>
              <w:spacing w:before="6"/>
              <w:ind w:right="232"/>
              <w:jc w:val="right"/>
              <w:rPr>
                <w:sz w:val="18"/>
              </w:rPr>
            </w:pPr>
            <w:r>
              <w:rPr>
                <w:spacing w:val="-10"/>
                <w:sz w:val="18"/>
              </w:rPr>
              <w:t>‐</w:t>
            </w:r>
          </w:p>
        </w:tc>
        <w:tc>
          <w:tcPr>
            <w:tcW w:w="931" w:type="dxa"/>
          </w:tcPr>
          <w:p>
            <w:pPr>
              <w:pStyle w:val="TableParagraph"/>
              <w:spacing w:before="6"/>
              <w:ind w:right="187"/>
              <w:jc w:val="right"/>
              <w:rPr>
                <w:sz w:val="18"/>
              </w:rPr>
            </w:pPr>
            <w:r>
              <w:rPr>
                <w:spacing w:val="-2"/>
                <w:sz w:val="18"/>
              </w:rPr>
              <w:t>52.078</w:t>
            </w:r>
          </w:p>
        </w:tc>
        <w:tc>
          <w:tcPr>
            <w:tcW w:w="1087" w:type="dxa"/>
          </w:tcPr>
          <w:p>
            <w:pPr>
              <w:pStyle w:val="TableParagraph"/>
              <w:spacing w:before="6"/>
              <w:ind w:right="301"/>
              <w:jc w:val="right"/>
              <w:rPr>
                <w:sz w:val="18"/>
              </w:rPr>
            </w:pPr>
            <w:r>
              <w:rPr>
                <w:spacing w:val="-2"/>
                <w:sz w:val="18"/>
              </w:rPr>
              <w:t>110.361</w:t>
            </w:r>
          </w:p>
        </w:tc>
        <w:tc>
          <w:tcPr>
            <w:tcW w:w="1003" w:type="dxa"/>
          </w:tcPr>
          <w:p>
            <w:pPr>
              <w:pStyle w:val="TableParagraph"/>
              <w:spacing w:before="6"/>
              <w:ind w:right="326"/>
              <w:jc w:val="right"/>
              <w:rPr>
                <w:sz w:val="18"/>
              </w:rPr>
            </w:pPr>
            <w:r>
              <w:rPr>
                <w:spacing w:val="-10"/>
                <w:sz w:val="18"/>
              </w:rPr>
              <w:t>‐</w:t>
            </w:r>
          </w:p>
        </w:tc>
        <w:tc>
          <w:tcPr>
            <w:tcW w:w="715" w:type="dxa"/>
          </w:tcPr>
          <w:p>
            <w:pPr>
              <w:pStyle w:val="TableParagraph"/>
              <w:spacing w:before="6"/>
              <w:ind w:right="63"/>
              <w:jc w:val="right"/>
              <w:rPr>
                <w:sz w:val="18"/>
              </w:rPr>
            </w:pPr>
            <w:r>
              <w:rPr>
                <w:spacing w:val="-10"/>
                <w:sz w:val="18"/>
              </w:rPr>
              <w:t>‐</w:t>
            </w:r>
          </w:p>
        </w:tc>
      </w:tr>
      <w:tr>
        <w:trPr>
          <w:trHeight w:val="269" w:hRule="atLeast"/>
        </w:trPr>
        <w:tc>
          <w:tcPr>
            <w:tcW w:w="4303" w:type="dxa"/>
          </w:tcPr>
          <w:p>
            <w:pPr>
              <w:pStyle w:val="TableParagraph"/>
              <w:spacing w:before="5"/>
              <w:ind w:left="50"/>
              <w:rPr>
                <w:sz w:val="18"/>
              </w:rPr>
            </w:pPr>
            <w:r>
              <w:rPr>
                <w:sz w:val="18"/>
              </w:rPr>
              <w:t>Imposto</w:t>
            </w:r>
            <w:r>
              <w:rPr>
                <w:spacing w:val="-2"/>
                <w:sz w:val="18"/>
              </w:rPr>
              <w:t> </w:t>
            </w:r>
            <w:r>
              <w:rPr>
                <w:sz w:val="18"/>
              </w:rPr>
              <w:t>de</w:t>
            </w:r>
            <w:r>
              <w:rPr>
                <w:spacing w:val="-2"/>
                <w:sz w:val="18"/>
              </w:rPr>
              <w:t> </w:t>
            </w:r>
            <w:r>
              <w:rPr>
                <w:sz w:val="18"/>
              </w:rPr>
              <w:t>renda</w:t>
            </w:r>
            <w:r>
              <w:rPr>
                <w:spacing w:val="-1"/>
                <w:sz w:val="18"/>
              </w:rPr>
              <w:t> </w:t>
            </w:r>
            <w:r>
              <w:rPr>
                <w:sz w:val="18"/>
              </w:rPr>
              <w:t>retido</w:t>
            </w:r>
            <w:r>
              <w:rPr>
                <w:spacing w:val="-2"/>
                <w:sz w:val="18"/>
              </w:rPr>
              <w:t> </w:t>
            </w:r>
            <w:r>
              <w:rPr>
                <w:sz w:val="18"/>
              </w:rPr>
              <w:t>de</w:t>
            </w:r>
            <w:r>
              <w:rPr>
                <w:spacing w:val="-1"/>
                <w:sz w:val="18"/>
              </w:rPr>
              <w:t> </w:t>
            </w:r>
            <w:r>
              <w:rPr>
                <w:spacing w:val="-2"/>
                <w:sz w:val="18"/>
              </w:rPr>
              <w:t>terceiros</w:t>
            </w:r>
          </w:p>
        </w:tc>
        <w:tc>
          <w:tcPr>
            <w:tcW w:w="1255" w:type="dxa"/>
          </w:tcPr>
          <w:p>
            <w:pPr>
              <w:pStyle w:val="TableParagraph"/>
              <w:spacing w:before="5"/>
              <w:ind w:right="317"/>
              <w:jc w:val="right"/>
              <w:rPr>
                <w:sz w:val="18"/>
              </w:rPr>
            </w:pPr>
            <w:r>
              <w:rPr>
                <w:spacing w:val="-10"/>
                <w:sz w:val="18"/>
              </w:rPr>
              <w:t>‐</w:t>
            </w:r>
          </w:p>
        </w:tc>
        <w:tc>
          <w:tcPr>
            <w:tcW w:w="921" w:type="dxa"/>
          </w:tcPr>
          <w:p>
            <w:pPr>
              <w:pStyle w:val="TableParagraph"/>
              <w:spacing w:before="5"/>
              <w:ind w:right="232"/>
              <w:jc w:val="right"/>
              <w:rPr>
                <w:sz w:val="18"/>
              </w:rPr>
            </w:pPr>
            <w:r>
              <w:rPr>
                <w:spacing w:val="-10"/>
                <w:sz w:val="18"/>
              </w:rPr>
              <w:t>‐</w:t>
            </w:r>
          </w:p>
        </w:tc>
        <w:tc>
          <w:tcPr>
            <w:tcW w:w="931" w:type="dxa"/>
          </w:tcPr>
          <w:p>
            <w:pPr>
              <w:pStyle w:val="TableParagraph"/>
              <w:spacing w:before="5"/>
              <w:ind w:right="184"/>
              <w:jc w:val="right"/>
              <w:rPr>
                <w:sz w:val="18"/>
              </w:rPr>
            </w:pPr>
            <w:r>
              <w:rPr>
                <w:spacing w:val="-10"/>
                <w:sz w:val="18"/>
              </w:rPr>
              <w:t>‐</w:t>
            </w:r>
          </w:p>
        </w:tc>
        <w:tc>
          <w:tcPr>
            <w:tcW w:w="1087" w:type="dxa"/>
          </w:tcPr>
          <w:p>
            <w:pPr>
              <w:pStyle w:val="TableParagraph"/>
              <w:spacing w:before="5"/>
              <w:ind w:right="298"/>
              <w:jc w:val="right"/>
              <w:rPr>
                <w:sz w:val="18"/>
              </w:rPr>
            </w:pPr>
            <w:r>
              <w:rPr>
                <w:spacing w:val="-10"/>
                <w:sz w:val="18"/>
              </w:rPr>
              <w:t>‐</w:t>
            </w:r>
          </w:p>
        </w:tc>
        <w:tc>
          <w:tcPr>
            <w:tcW w:w="1003" w:type="dxa"/>
          </w:tcPr>
          <w:p>
            <w:pPr>
              <w:pStyle w:val="TableParagraph"/>
              <w:spacing w:before="5"/>
              <w:ind w:right="329"/>
              <w:jc w:val="right"/>
              <w:rPr>
                <w:sz w:val="18"/>
              </w:rPr>
            </w:pPr>
            <w:r>
              <w:rPr>
                <w:spacing w:val="-5"/>
                <w:sz w:val="18"/>
              </w:rPr>
              <w:t>10</w:t>
            </w:r>
          </w:p>
        </w:tc>
        <w:tc>
          <w:tcPr>
            <w:tcW w:w="715" w:type="dxa"/>
          </w:tcPr>
          <w:p>
            <w:pPr>
              <w:pStyle w:val="TableParagraph"/>
              <w:spacing w:before="5"/>
              <w:ind w:right="63"/>
              <w:jc w:val="right"/>
              <w:rPr>
                <w:sz w:val="18"/>
              </w:rPr>
            </w:pPr>
            <w:r>
              <w:rPr>
                <w:spacing w:val="-10"/>
                <w:sz w:val="18"/>
              </w:rPr>
              <w:t>9</w:t>
            </w:r>
          </w:p>
        </w:tc>
      </w:tr>
      <w:tr>
        <w:trPr>
          <w:trHeight w:val="195" w:hRule="atLeast"/>
        </w:trPr>
        <w:tc>
          <w:tcPr>
            <w:tcW w:w="4303" w:type="dxa"/>
          </w:tcPr>
          <w:p>
            <w:pPr>
              <w:pStyle w:val="TableParagraph"/>
              <w:spacing w:line="169" w:lineRule="exact" w:before="6"/>
              <w:ind w:left="50"/>
              <w:rPr>
                <w:sz w:val="18"/>
              </w:rPr>
            </w:pPr>
            <w:r>
              <w:rPr>
                <w:spacing w:val="-2"/>
                <w:sz w:val="18"/>
              </w:rPr>
              <w:t>Outros</w:t>
            </w:r>
          </w:p>
        </w:tc>
        <w:tc>
          <w:tcPr>
            <w:tcW w:w="1255" w:type="dxa"/>
            <w:tcBorders>
              <w:bottom w:val="single" w:sz="24" w:space="0" w:color="000000"/>
            </w:tcBorders>
          </w:tcPr>
          <w:p>
            <w:pPr>
              <w:pStyle w:val="TableParagraph"/>
              <w:spacing w:line="156" w:lineRule="exact" w:before="6"/>
              <w:ind w:right="317"/>
              <w:jc w:val="right"/>
              <w:rPr>
                <w:sz w:val="18"/>
              </w:rPr>
            </w:pPr>
            <w:r>
              <w:rPr>
                <w:spacing w:val="-10"/>
                <w:sz w:val="18"/>
              </w:rPr>
              <w:t>‐</w:t>
            </w:r>
          </w:p>
        </w:tc>
        <w:tc>
          <w:tcPr>
            <w:tcW w:w="921" w:type="dxa"/>
            <w:tcBorders>
              <w:bottom w:val="single" w:sz="24" w:space="0" w:color="000000"/>
            </w:tcBorders>
          </w:tcPr>
          <w:p>
            <w:pPr>
              <w:pStyle w:val="TableParagraph"/>
              <w:spacing w:line="156" w:lineRule="exact" w:before="6"/>
              <w:ind w:right="232"/>
              <w:jc w:val="right"/>
              <w:rPr>
                <w:sz w:val="18"/>
              </w:rPr>
            </w:pPr>
            <w:r>
              <w:rPr>
                <w:spacing w:val="-10"/>
                <w:sz w:val="18"/>
              </w:rPr>
              <w:t>‐</w:t>
            </w:r>
          </w:p>
        </w:tc>
        <w:tc>
          <w:tcPr>
            <w:tcW w:w="931" w:type="dxa"/>
            <w:tcBorders>
              <w:bottom w:val="single" w:sz="24" w:space="0" w:color="000000"/>
            </w:tcBorders>
          </w:tcPr>
          <w:p>
            <w:pPr>
              <w:pStyle w:val="TableParagraph"/>
              <w:spacing w:line="156" w:lineRule="exact" w:before="6"/>
              <w:ind w:right="180"/>
              <w:jc w:val="right"/>
              <w:rPr>
                <w:sz w:val="18"/>
              </w:rPr>
            </w:pPr>
            <w:r>
              <w:rPr>
                <w:spacing w:val="-10"/>
                <w:sz w:val="18"/>
              </w:rPr>
              <w:t>‐</w:t>
            </w:r>
          </w:p>
        </w:tc>
        <w:tc>
          <w:tcPr>
            <w:tcW w:w="1087" w:type="dxa"/>
            <w:tcBorders>
              <w:bottom w:val="single" w:sz="24" w:space="0" w:color="000000"/>
            </w:tcBorders>
          </w:tcPr>
          <w:p>
            <w:pPr>
              <w:pStyle w:val="TableParagraph"/>
              <w:spacing w:line="156" w:lineRule="exact" w:before="6"/>
              <w:ind w:right="294"/>
              <w:jc w:val="right"/>
              <w:rPr>
                <w:sz w:val="18"/>
              </w:rPr>
            </w:pPr>
            <w:r>
              <w:rPr>
                <w:spacing w:val="-10"/>
                <w:sz w:val="18"/>
              </w:rPr>
              <w:t>‐</w:t>
            </w:r>
          </w:p>
        </w:tc>
        <w:tc>
          <w:tcPr>
            <w:tcW w:w="1003" w:type="dxa"/>
            <w:tcBorders>
              <w:bottom w:val="single" w:sz="24" w:space="0" w:color="000000"/>
            </w:tcBorders>
          </w:tcPr>
          <w:p>
            <w:pPr>
              <w:pStyle w:val="TableParagraph"/>
              <w:spacing w:line="156" w:lineRule="exact" w:before="6"/>
              <w:ind w:right="329"/>
              <w:jc w:val="right"/>
              <w:rPr>
                <w:sz w:val="18"/>
              </w:rPr>
            </w:pPr>
            <w:r>
              <w:rPr>
                <w:spacing w:val="-5"/>
                <w:sz w:val="18"/>
              </w:rPr>
              <w:t>14</w:t>
            </w:r>
          </w:p>
        </w:tc>
        <w:tc>
          <w:tcPr>
            <w:tcW w:w="715" w:type="dxa"/>
            <w:tcBorders>
              <w:bottom w:val="single" w:sz="24" w:space="0" w:color="000000"/>
            </w:tcBorders>
          </w:tcPr>
          <w:p>
            <w:pPr>
              <w:pStyle w:val="TableParagraph"/>
              <w:spacing w:line="156" w:lineRule="exact" w:before="6"/>
              <w:ind w:right="6"/>
              <w:jc w:val="right"/>
              <w:rPr>
                <w:sz w:val="18"/>
              </w:rPr>
            </w:pPr>
            <w:r>
              <w:rPr>
                <w:spacing w:val="-5"/>
                <w:sz w:val="18"/>
              </w:rPr>
              <w:t>26</w:t>
            </w:r>
          </w:p>
        </w:tc>
      </w:tr>
      <w:tr>
        <w:trPr>
          <w:trHeight w:val="239" w:hRule="atLeast"/>
        </w:trPr>
        <w:tc>
          <w:tcPr>
            <w:tcW w:w="4303" w:type="dxa"/>
          </w:tcPr>
          <w:p>
            <w:pPr>
              <w:pStyle w:val="TableParagraph"/>
              <w:rPr>
                <w:rFonts w:ascii="Times New Roman"/>
                <w:sz w:val="16"/>
              </w:rPr>
            </w:pPr>
          </w:p>
        </w:tc>
        <w:tc>
          <w:tcPr>
            <w:tcW w:w="1255" w:type="dxa"/>
            <w:tcBorders>
              <w:top w:val="single" w:sz="24" w:space="0" w:color="000000"/>
              <w:bottom w:val="single" w:sz="24" w:space="0" w:color="000000"/>
            </w:tcBorders>
          </w:tcPr>
          <w:p>
            <w:pPr>
              <w:pStyle w:val="TableParagraph"/>
              <w:spacing w:line="214" w:lineRule="exact" w:before="18"/>
              <w:ind w:right="317"/>
              <w:jc w:val="right"/>
              <w:rPr>
                <w:sz w:val="18"/>
              </w:rPr>
            </w:pPr>
            <w:r>
              <w:rPr>
                <w:spacing w:val="-10"/>
                <w:sz w:val="18"/>
              </w:rPr>
              <w:t>‐</w:t>
            </w:r>
          </w:p>
        </w:tc>
        <w:tc>
          <w:tcPr>
            <w:tcW w:w="921" w:type="dxa"/>
            <w:tcBorders>
              <w:top w:val="single" w:sz="24" w:space="0" w:color="000000"/>
              <w:bottom w:val="single" w:sz="24" w:space="0" w:color="000000"/>
            </w:tcBorders>
          </w:tcPr>
          <w:p>
            <w:pPr>
              <w:pStyle w:val="TableParagraph"/>
              <w:spacing w:line="214" w:lineRule="exact" w:before="18"/>
              <w:ind w:right="232"/>
              <w:jc w:val="right"/>
              <w:rPr>
                <w:sz w:val="18"/>
              </w:rPr>
            </w:pPr>
            <w:r>
              <w:rPr>
                <w:spacing w:val="-10"/>
                <w:sz w:val="18"/>
              </w:rPr>
              <w:t>‐</w:t>
            </w:r>
          </w:p>
        </w:tc>
        <w:tc>
          <w:tcPr>
            <w:tcW w:w="931" w:type="dxa"/>
            <w:tcBorders>
              <w:top w:val="single" w:sz="24" w:space="0" w:color="000000"/>
              <w:bottom w:val="single" w:sz="24" w:space="0" w:color="000000"/>
            </w:tcBorders>
          </w:tcPr>
          <w:p>
            <w:pPr>
              <w:pStyle w:val="TableParagraph"/>
              <w:spacing w:line="214" w:lineRule="exact" w:before="18"/>
              <w:ind w:right="187"/>
              <w:jc w:val="right"/>
              <w:rPr>
                <w:sz w:val="18"/>
              </w:rPr>
            </w:pPr>
            <w:r>
              <w:rPr>
                <w:spacing w:val="-2"/>
                <w:sz w:val="18"/>
              </w:rPr>
              <w:t>52.078</w:t>
            </w:r>
          </w:p>
        </w:tc>
        <w:tc>
          <w:tcPr>
            <w:tcW w:w="1087" w:type="dxa"/>
            <w:tcBorders>
              <w:top w:val="single" w:sz="24" w:space="0" w:color="000000"/>
              <w:bottom w:val="single" w:sz="24" w:space="0" w:color="000000"/>
            </w:tcBorders>
          </w:tcPr>
          <w:p>
            <w:pPr>
              <w:pStyle w:val="TableParagraph"/>
              <w:spacing w:line="214" w:lineRule="exact" w:before="18"/>
              <w:ind w:right="301"/>
              <w:jc w:val="right"/>
              <w:rPr>
                <w:sz w:val="18"/>
              </w:rPr>
            </w:pPr>
            <w:r>
              <w:rPr>
                <w:spacing w:val="-2"/>
                <w:sz w:val="18"/>
              </w:rPr>
              <w:t>145.415</w:t>
            </w:r>
          </w:p>
        </w:tc>
        <w:tc>
          <w:tcPr>
            <w:tcW w:w="1003" w:type="dxa"/>
            <w:tcBorders>
              <w:top w:val="single" w:sz="24" w:space="0" w:color="000000"/>
              <w:bottom w:val="single" w:sz="24" w:space="0" w:color="000000"/>
            </w:tcBorders>
          </w:tcPr>
          <w:p>
            <w:pPr>
              <w:pStyle w:val="TableParagraph"/>
              <w:spacing w:line="214" w:lineRule="exact" w:before="18"/>
              <w:ind w:right="329"/>
              <w:jc w:val="right"/>
              <w:rPr>
                <w:sz w:val="18"/>
              </w:rPr>
            </w:pPr>
            <w:r>
              <w:rPr>
                <w:spacing w:val="-5"/>
                <w:sz w:val="18"/>
              </w:rPr>
              <w:t>24</w:t>
            </w:r>
          </w:p>
        </w:tc>
        <w:tc>
          <w:tcPr>
            <w:tcW w:w="715" w:type="dxa"/>
            <w:tcBorders>
              <w:top w:val="single" w:sz="24" w:space="0" w:color="000000"/>
              <w:bottom w:val="single" w:sz="24" w:space="0" w:color="000000"/>
            </w:tcBorders>
          </w:tcPr>
          <w:p>
            <w:pPr>
              <w:pStyle w:val="TableParagraph"/>
              <w:spacing w:line="214" w:lineRule="exact" w:before="18"/>
              <w:ind w:right="63"/>
              <w:jc w:val="right"/>
              <w:rPr>
                <w:sz w:val="18"/>
              </w:rPr>
            </w:pPr>
            <w:r>
              <w:rPr>
                <w:spacing w:val="-5"/>
                <w:sz w:val="18"/>
              </w:rPr>
              <w:t>35</w:t>
            </w:r>
          </w:p>
        </w:tc>
      </w:tr>
    </w:tbl>
    <w:p>
      <w:pPr>
        <w:pStyle w:val="BodyText"/>
        <w:spacing w:before="29"/>
        <w:rPr>
          <w:b/>
          <w:sz w:val="18"/>
        </w:rPr>
      </w:pPr>
    </w:p>
    <w:p>
      <w:pPr>
        <w:pStyle w:val="ListParagraph"/>
        <w:numPr>
          <w:ilvl w:val="0"/>
          <w:numId w:val="11"/>
        </w:numPr>
        <w:tabs>
          <w:tab w:pos="422" w:val="left" w:leader="none"/>
        </w:tabs>
        <w:spacing w:line="240" w:lineRule="auto" w:before="0" w:after="0"/>
        <w:ind w:left="151" w:right="356" w:firstLine="0"/>
        <w:jc w:val="both"/>
        <w:rPr>
          <w:sz w:val="22"/>
        </w:rPr>
      </w:pPr>
      <w:r>
        <w:rPr>
          <w:sz w:val="22"/>
        </w:rPr>
        <w:t>Os créditos de ICMS são originados da aquisição de insumos de produção e de materiais incorporados ao imobilizado, e inclui créditos habilitados no Sistema de Controle da Transferência e Utilização de Créditos Acumulados</w:t>
      </w:r>
      <w:r>
        <w:rPr>
          <w:spacing w:val="-13"/>
          <w:sz w:val="22"/>
        </w:rPr>
        <w:t> </w:t>
      </w:r>
      <w:r>
        <w:rPr>
          <w:sz w:val="22"/>
        </w:rPr>
        <w:t>do</w:t>
      </w:r>
      <w:r>
        <w:rPr>
          <w:spacing w:val="-12"/>
          <w:sz w:val="22"/>
        </w:rPr>
        <w:t> </w:t>
      </w:r>
      <w:r>
        <w:rPr>
          <w:sz w:val="22"/>
        </w:rPr>
        <w:t>Paraná</w:t>
      </w:r>
      <w:r>
        <w:rPr>
          <w:spacing w:val="-13"/>
          <w:sz w:val="22"/>
        </w:rPr>
        <w:t> </w:t>
      </w:r>
      <w:r>
        <w:rPr>
          <w:sz w:val="22"/>
        </w:rPr>
        <w:t>(SISCRED),</w:t>
      </w:r>
      <w:r>
        <w:rPr>
          <w:spacing w:val="-12"/>
          <w:sz w:val="22"/>
        </w:rPr>
        <w:t> </w:t>
      </w:r>
      <w:r>
        <w:rPr>
          <w:sz w:val="22"/>
        </w:rPr>
        <w:t>no</w:t>
      </w:r>
      <w:r>
        <w:rPr>
          <w:spacing w:val="-13"/>
          <w:sz w:val="22"/>
        </w:rPr>
        <w:t> </w:t>
      </w:r>
      <w:r>
        <w:rPr>
          <w:sz w:val="22"/>
        </w:rPr>
        <w:t>montante</w:t>
      </w:r>
      <w:r>
        <w:rPr>
          <w:spacing w:val="-12"/>
          <w:sz w:val="22"/>
        </w:rPr>
        <w:t> </w:t>
      </w:r>
      <w:r>
        <w:rPr>
          <w:sz w:val="22"/>
        </w:rPr>
        <w:t>de</w:t>
      </w:r>
      <w:r>
        <w:rPr>
          <w:spacing w:val="-13"/>
          <w:sz w:val="22"/>
        </w:rPr>
        <w:t> </w:t>
      </w:r>
      <w:r>
        <w:rPr>
          <w:sz w:val="22"/>
        </w:rPr>
        <w:t>R$</w:t>
      </w:r>
      <w:r>
        <w:rPr>
          <w:spacing w:val="-12"/>
          <w:sz w:val="22"/>
        </w:rPr>
        <w:t> </w:t>
      </w:r>
      <w:r>
        <w:rPr>
          <w:sz w:val="22"/>
        </w:rPr>
        <w:t>35.330,</w:t>
      </w:r>
      <w:r>
        <w:rPr>
          <w:spacing w:val="-12"/>
          <w:sz w:val="22"/>
        </w:rPr>
        <w:t> </w:t>
      </w:r>
      <w:r>
        <w:rPr>
          <w:sz w:val="22"/>
        </w:rPr>
        <w:t>que,</w:t>
      </w:r>
      <w:r>
        <w:rPr>
          <w:spacing w:val="-13"/>
          <w:sz w:val="22"/>
        </w:rPr>
        <w:t> </w:t>
      </w:r>
      <w:r>
        <w:rPr>
          <w:sz w:val="22"/>
        </w:rPr>
        <w:t>em</w:t>
      </w:r>
      <w:r>
        <w:rPr>
          <w:spacing w:val="-12"/>
          <w:sz w:val="22"/>
        </w:rPr>
        <w:t> </w:t>
      </w:r>
      <w:r>
        <w:rPr>
          <w:sz w:val="22"/>
        </w:rPr>
        <w:t>2022,</w:t>
      </w:r>
      <w:r>
        <w:rPr>
          <w:spacing w:val="-13"/>
          <w:sz w:val="22"/>
        </w:rPr>
        <w:t> </w:t>
      </w:r>
      <w:r>
        <w:rPr>
          <w:sz w:val="22"/>
        </w:rPr>
        <w:t>foram</w:t>
      </w:r>
      <w:r>
        <w:rPr>
          <w:spacing w:val="-12"/>
          <w:sz w:val="22"/>
        </w:rPr>
        <w:t> </w:t>
      </w:r>
      <w:r>
        <w:rPr>
          <w:sz w:val="22"/>
        </w:rPr>
        <w:t>transferidos</w:t>
      </w:r>
      <w:r>
        <w:rPr>
          <w:spacing w:val="-13"/>
          <w:sz w:val="22"/>
        </w:rPr>
        <w:t> </w:t>
      </w:r>
      <w:r>
        <w:rPr>
          <w:sz w:val="22"/>
        </w:rPr>
        <w:t>para</w:t>
      </w:r>
      <w:r>
        <w:rPr>
          <w:spacing w:val="-12"/>
          <w:sz w:val="22"/>
        </w:rPr>
        <w:t> </w:t>
      </w:r>
      <w:r>
        <w:rPr>
          <w:sz w:val="22"/>
        </w:rPr>
        <w:t>a</w:t>
      </w:r>
      <w:r>
        <w:rPr>
          <w:spacing w:val="-12"/>
          <w:sz w:val="22"/>
        </w:rPr>
        <w:t> </w:t>
      </w:r>
      <w:r>
        <w:rPr>
          <w:sz w:val="22"/>
        </w:rPr>
        <w:t>controladora Petrobras, através de redução de capital (nota 12).</w:t>
      </w:r>
    </w:p>
    <w:p>
      <w:pPr>
        <w:pStyle w:val="BodyText"/>
        <w:spacing w:before="11"/>
      </w:pPr>
    </w:p>
    <w:p>
      <w:pPr>
        <w:pStyle w:val="ListParagraph"/>
        <w:numPr>
          <w:ilvl w:val="0"/>
          <w:numId w:val="11"/>
        </w:numPr>
        <w:tabs>
          <w:tab w:pos="508" w:val="left" w:leader="none"/>
        </w:tabs>
        <w:spacing w:line="240" w:lineRule="auto" w:before="0" w:after="0"/>
        <w:ind w:left="151" w:right="355" w:firstLine="0"/>
        <w:jc w:val="both"/>
        <w:rPr>
          <w:sz w:val="22"/>
        </w:rPr>
      </w:pPr>
      <w:r>
        <w:rPr>
          <w:sz w:val="22"/>
        </w:rPr>
        <w:t>Os créditos de PIS/COFINS são originados das aquisições de insumos de produção e do imobilizado, de acordo com as leis nº 10.637/2002 e 10.833/2003 e inclui a parcela R$ 52.078 (R$ 110.361 em 31 de dezembro de 2021), com pedido de restituição já protocolados junto à Receita Federal do Brasil (“RFB”). Em 2022, a RFB restituiu créditos no montante de R$ 76.945.</w:t>
      </w:r>
    </w:p>
    <w:p>
      <w:pPr>
        <w:pStyle w:val="BodyText"/>
        <w:spacing w:before="12"/>
      </w:pPr>
    </w:p>
    <w:p>
      <w:pPr>
        <w:pStyle w:val="ListParagraph"/>
        <w:numPr>
          <w:ilvl w:val="0"/>
          <w:numId w:val="11"/>
        </w:numPr>
        <w:tabs>
          <w:tab w:pos="151" w:val="left" w:leader="none"/>
          <w:tab w:pos="509" w:val="left" w:leader="none"/>
        </w:tabs>
        <w:spacing w:line="240" w:lineRule="auto" w:before="0" w:after="0"/>
        <w:ind w:left="151" w:right="352" w:hanging="1"/>
        <w:jc w:val="both"/>
        <w:rPr>
          <w:sz w:val="22"/>
        </w:rPr>
      </w:pPr>
      <w:r>
        <w:rPr>
          <w:sz w:val="22"/>
        </w:rPr>
        <w:t>A Companhia, em razão da decisão de hibernação da planta de industrial e a consequente paralisação das atividades mercantis geradoras de débitos desses tributos, realiza o teste recuperabilidade dos créditos fiscais e mantém provisão para perdas de R$ 280.987 (sendo R$ 83.857 de PIS/COFINS e R$ 197.130 de ICMS), em 31 de dezembro de 2022 (R$ 303.698 em 31 de dezembro de 2021). Os saldos apresentados na tabela acima já se encontram líquidos de tal provisão.</w:t>
      </w:r>
    </w:p>
    <w:p>
      <w:pPr>
        <w:spacing w:after="0" w:line="240" w:lineRule="auto"/>
        <w:jc w:val="both"/>
        <w:rPr>
          <w:sz w:val="22"/>
        </w:rPr>
        <w:sectPr>
          <w:pgSz w:w="11910" w:h="16840"/>
          <w:pgMar w:header="637" w:footer="630" w:top="1800" w:bottom="820" w:left="700" w:right="480"/>
        </w:sectPr>
      </w:pPr>
    </w:p>
    <w:p>
      <w:pPr>
        <w:pStyle w:val="BodyText"/>
        <w:spacing w:before="72"/>
        <w:rPr>
          <w:sz w:val="24"/>
        </w:rPr>
      </w:pPr>
    </w:p>
    <w:p>
      <w:pPr>
        <w:pStyle w:val="ListParagraph"/>
        <w:numPr>
          <w:ilvl w:val="1"/>
          <w:numId w:val="9"/>
        </w:numPr>
        <w:tabs>
          <w:tab w:pos="713" w:val="left" w:leader="none"/>
        </w:tabs>
        <w:spacing w:line="240" w:lineRule="auto" w:before="0" w:after="0"/>
        <w:ind w:left="713" w:right="0" w:hanging="563"/>
        <w:jc w:val="left"/>
        <w:rPr>
          <w:b/>
          <w:sz w:val="24"/>
        </w:rPr>
      </w:pPr>
      <w:r>
        <w:rPr>
          <w:b/>
          <w:sz w:val="24"/>
        </w:rPr>
        <w:t>Reconciliação</w:t>
      </w:r>
      <w:r>
        <w:rPr>
          <w:b/>
          <w:spacing w:val="-3"/>
          <w:sz w:val="24"/>
        </w:rPr>
        <w:t> </w:t>
      </w:r>
      <w:r>
        <w:rPr>
          <w:b/>
          <w:sz w:val="24"/>
        </w:rPr>
        <w:t>do</w:t>
      </w:r>
      <w:r>
        <w:rPr>
          <w:b/>
          <w:spacing w:val="-2"/>
          <w:sz w:val="24"/>
        </w:rPr>
        <w:t> </w:t>
      </w:r>
      <w:r>
        <w:rPr>
          <w:b/>
          <w:sz w:val="24"/>
        </w:rPr>
        <w:t>imposto</w:t>
      </w:r>
      <w:r>
        <w:rPr>
          <w:b/>
          <w:spacing w:val="-2"/>
          <w:sz w:val="24"/>
        </w:rPr>
        <w:t> </w:t>
      </w:r>
      <w:r>
        <w:rPr>
          <w:b/>
          <w:sz w:val="24"/>
        </w:rPr>
        <w:t>de</w:t>
      </w:r>
      <w:r>
        <w:rPr>
          <w:b/>
          <w:spacing w:val="-2"/>
          <w:sz w:val="24"/>
        </w:rPr>
        <w:t> </w:t>
      </w:r>
      <w:r>
        <w:rPr>
          <w:b/>
          <w:sz w:val="24"/>
        </w:rPr>
        <w:t>renda</w:t>
      </w:r>
      <w:r>
        <w:rPr>
          <w:b/>
          <w:spacing w:val="-1"/>
          <w:sz w:val="24"/>
        </w:rPr>
        <w:t> </w:t>
      </w:r>
      <w:r>
        <w:rPr>
          <w:b/>
          <w:sz w:val="24"/>
        </w:rPr>
        <w:t>e</w:t>
      </w:r>
      <w:r>
        <w:rPr>
          <w:b/>
          <w:spacing w:val="-1"/>
          <w:sz w:val="24"/>
        </w:rPr>
        <w:t> </w:t>
      </w:r>
      <w:r>
        <w:rPr>
          <w:b/>
          <w:sz w:val="24"/>
        </w:rPr>
        <w:t>contribuição</w:t>
      </w:r>
      <w:r>
        <w:rPr>
          <w:b/>
          <w:spacing w:val="-3"/>
          <w:sz w:val="24"/>
        </w:rPr>
        <w:t> </w:t>
      </w:r>
      <w:r>
        <w:rPr>
          <w:b/>
          <w:sz w:val="24"/>
        </w:rPr>
        <w:t>social</w:t>
      </w:r>
      <w:r>
        <w:rPr>
          <w:b/>
          <w:spacing w:val="-4"/>
          <w:sz w:val="24"/>
        </w:rPr>
        <w:t> </w:t>
      </w:r>
      <w:r>
        <w:rPr>
          <w:b/>
          <w:sz w:val="24"/>
        </w:rPr>
        <w:t>sobre</w:t>
      </w:r>
      <w:r>
        <w:rPr>
          <w:b/>
          <w:spacing w:val="-1"/>
          <w:sz w:val="24"/>
        </w:rPr>
        <w:t> </w:t>
      </w:r>
      <w:r>
        <w:rPr>
          <w:b/>
          <w:sz w:val="24"/>
        </w:rPr>
        <w:t>o</w:t>
      </w:r>
      <w:r>
        <w:rPr>
          <w:b/>
          <w:spacing w:val="-11"/>
          <w:sz w:val="24"/>
        </w:rPr>
        <w:t> </w:t>
      </w:r>
      <w:r>
        <w:rPr>
          <w:b/>
          <w:spacing w:val="-2"/>
          <w:sz w:val="24"/>
        </w:rPr>
        <w:t>lucro</w:t>
      </w:r>
    </w:p>
    <w:p>
      <w:pPr>
        <w:pStyle w:val="BodyText"/>
        <w:spacing w:before="241"/>
        <w:ind w:left="151" w:right="362"/>
        <w:jc w:val="both"/>
      </w:pPr>
      <w:r>
        <w:rPr/>
        <w:t>A reconciliação dos impostos apurados conforme alíquotas nominais e o valor dos impostos registrados estão apresentados a seguir:</w:t>
      </w:r>
    </w:p>
    <w:p>
      <w:pPr>
        <w:pStyle w:val="BodyText"/>
        <w:spacing w:before="2"/>
        <w:rPr>
          <w:sz w:val="20"/>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768"/>
        <w:gridCol w:w="2215"/>
        <w:gridCol w:w="1258"/>
      </w:tblGrid>
      <w:tr>
        <w:trPr>
          <w:trHeight w:val="233" w:hRule="atLeast"/>
        </w:trPr>
        <w:tc>
          <w:tcPr>
            <w:tcW w:w="6768" w:type="dxa"/>
          </w:tcPr>
          <w:p>
            <w:pPr>
              <w:pStyle w:val="TableParagraph"/>
              <w:rPr>
                <w:rFonts w:ascii="Times New Roman"/>
                <w:sz w:val="16"/>
              </w:rPr>
            </w:pPr>
          </w:p>
        </w:tc>
        <w:tc>
          <w:tcPr>
            <w:tcW w:w="2215" w:type="dxa"/>
            <w:tcBorders>
              <w:top w:val="single" w:sz="4" w:space="0" w:color="000000"/>
              <w:bottom w:val="single" w:sz="18" w:space="0" w:color="000000"/>
            </w:tcBorders>
          </w:tcPr>
          <w:p>
            <w:pPr>
              <w:pStyle w:val="TableParagraph"/>
              <w:spacing w:line="165" w:lineRule="exact" w:before="39"/>
              <w:ind w:right="558"/>
              <w:jc w:val="right"/>
              <w:rPr>
                <w:b/>
                <w:sz w:val="18"/>
              </w:rPr>
            </w:pPr>
            <w:r>
              <w:rPr>
                <w:b/>
                <w:spacing w:val="-4"/>
                <w:sz w:val="18"/>
              </w:rPr>
              <w:t>2022</w:t>
            </w:r>
          </w:p>
        </w:tc>
        <w:tc>
          <w:tcPr>
            <w:tcW w:w="1258" w:type="dxa"/>
            <w:tcBorders>
              <w:top w:val="single" w:sz="4" w:space="0" w:color="000000"/>
              <w:bottom w:val="single" w:sz="18" w:space="0" w:color="000000"/>
            </w:tcBorders>
          </w:tcPr>
          <w:p>
            <w:pPr>
              <w:pStyle w:val="TableParagraph"/>
              <w:spacing w:line="165" w:lineRule="exact" w:before="39"/>
              <w:ind w:right="18"/>
              <w:jc w:val="right"/>
              <w:rPr>
                <w:b/>
                <w:sz w:val="18"/>
              </w:rPr>
            </w:pPr>
            <w:r>
              <w:rPr>
                <w:b/>
                <w:spacing w:val="-4"/>
                <w:sz w:val="18"/>
              </w:rPr>
              <w:t>2021</w:t>
            </w:r>
          </w:p>
        </w:tc>
      </w:tr>
      <w:tr>
        <w:trPr>
          <w:trHeight w:val="292" w:hRule="atLeast"/>
        </w:trPr>
        <w:tc>
          <w:tcPr>
            <w:tcW w:w="6768" w:type="dxa"/>
          </w:tcPr>
          <w:p>
            <w:pPr>
              <w:pStyle w:val="TableParagraph"/>
              <w:spacing w:before="40"/>
              <w:ind w:left="50"/>
              <w:rPr>
                <w:sz w:val="18"/>
              </w:rPr>
            </w:pPr>
            <w:r>
              <w:rPr>
                <w:sz w:val="18"/>
              </w:rPr>
              <w:t>Lucro</w:t>
            </w:r>
            <w:r>
              <w:rPr>
                <w:spacing w:val="-2"/>
                <w:sz w:val="18"/>
              </w:rPr>
              <w:t> </w:t>
            </w:r>
            <w:r>
              <w:rPr>
                <w:sz w:val="18"/>
              </w:rPr>
              <w:t>antes</w:t>
            </w:r>
            <w:r>
              <w:rPr>
                <w:spacing w:val="-1"/>
                <w:sz w:val="18"/>
              </w:rPr>
              <w:t> </w:t>
            </w:r>
            <w:r>
              <w:rPr>
                <w:sz w:val="18"/>
              </w:rPr>
              <w:t>dos</w:t>
            </w:r>
            <w:r>
              <w:rPr>
                <w:spacing w:val="-2"/>
                <w:sz w:val="18"/>
              </w:rPr>
              <w:t> impostos</w:t>
            </w:r>
          </w:p>
        </w:tc>
        <w:tc>
          <w:tcPr>
            <w:tcW w:w="2215" w:type="dxa"/>
            <w:tcBorders>
              <w:top w:val="single" w:sz="18" w:space="0" w:color="000000"/>
            </w:tcBorders>
          </w:tcPr>
          <w:p>
            <w:pPr>
              <w:pStyle w:val="TableParagraph"/>
              <w:spacing w:before="40"/>
              <w:ind w:right="558"/>
              <w:jc w:val="right"/>
              <w:rPr>
                <w:sz w:val="18"/>
              </w:rPr>
            </w:pPr>
            <w:r>
              <w:rPr>
                <w:spacing w:val="-2"/>
                <w:sz w:val="18"/>
              </w:rPr>
              <w:t>1.472</w:t>
            </w:r>
          </w:p>
        </w:tc>
        <w:tc>
          <w:tcPr>
            <w:tcW w:w="1258" w:type="dxa"/>
            <w:tcBorders>
              <w:top w:val="single" w:sz="18" w:space="0" w:color="000000"/>
            </w:tcBorders>
          </w:tcPr>
          <w:p>
            <w:pPr>
              <w:pStyle w:val="TableParagraph"/>
              <w:spacing w:before="40"/>
              <w:ind w:right="90"/>
              <w:jc w:val="right"/>
              <w:rPr>
                <w:sz w:val="18"/>
              </w:rPr>
            </w:pPr>
            <w:r>
              <w:rPr>
                <w:spacing w:val="-2"/>
                <w:sz w:val="18"/>
              </w:rPr>
              <w:t>64.302</w:t>
            </w:r>
          </w:p>
        </w:tc>
      </w:tr>
      <w:tr>
        <w:trPr>
          <w:trHeight w:val="403" w:hRule="atLeast"/>
        </w:trPr>
        <w:tc>
          <w:tcPr>
            <w:tcW w:w="6768" w:type="dxa"/>
          </w:tcPr>
          <w:p>
            <w:pPr>
              <w:pStyle w:val="TableParagraph"/>
              <w:spacing w:before="8"/>
              <w:ind w:left="50"/>
              <w:rPr>
                <w:sz w:val="18"/>
              </w:rPr>
            </w:pPr>
            <w:r>
              <w:rPr>
                <w:sz w:val="18"/>
              </w:rPr>
              <w:t>Imposto</w:t>
            </w:r>
            <w:r>
              <w:rPr>
                <w:spacing w:val="-3"/>
                <w:sz w:val="18"/>
              </w:rPr>
              <w:t> </w:t>
            </w:r>
            <w:r>
              <w:rPr>
                <w:sz w:val="18"/>
              </w:rPr>
              <w:t>de</w:t>
            </w:r>
            <w:r>
              <w:rPr>
                <w:spacing w:val="-3"/>
                <w:sz w:val="18"/>
              </w:rPr>
              <w:t> </w:t>
            </w:r>
            <w:r>
              <w:rPr>
                <w:sz w:val="18"/>
              </w:rPr>
              <w:t>renda</w:t>
            </w:r>
            <w:r>
              <w:rPr>
                <w:spacing w:val="-2"/>
                <w:sz w:val="18"/>
              </w:rPr>
              <w:t> </w:t>
            </w:r>
            <w:r>
              <w:rPr>
                <w:sz w:val="18"/>
              </w:rPr>
              <w:t>e</w:t>
            </w:r>
            <w:r>
              <w:rPr>
                <w:spacing w:val="-3"/>
                <w:sz w:val="18"/>
              </w:rPr>
              <w:t> </w:t>
            </w:r>
            <w:r>
              <w:rPr>
                <w:sz w:val="18"/>
              </w:rPr>
              <w:t>contribuição</w:t>
            </w:r>
            <w:r>
              <w:rPr>
                <w:spacing w:val="-1"/>
                <w:sz w:val="18"/>
              </w:rPr>
              <w:t> </w:t>
            </w:r>
            <w:r>
              <w:rPr>
                <w:sz w:val="18"/>
              </w:rPr>
              <w:t>social</w:t>
            </w:r>
            <w:r>
              <w:rPr>
                <w:spacing w:val="-4"/>
                <w:sz w:val="18"/>
              </w:rPr>
              <w:t> </w:t>
            </w:r>
            <w:r>
              <w:rPr>
                <w:sz w:val="18"/>
              </w:rPr>
              <w:t>às</w:t>
            </w:r>
            <w:r>
              <w:rPr>
                <w:spacing w:val="-2"/>
                <w:sz w:val="18"/>
              </w:rPr>
              <w:t> </w:t>
            </w:r>
            <w:r>
              <w:rPr>
                <w:sz w:val="18"/>
              </w:rPr>
              <w:t>alíquotas</w:t>
            </w:r>
            <w:r>
              <w:rPr>
                <w:spacing w:val="-3"/>
                <w:sz w:val="18"/>
              </w:rPr>
              <w:t> </w:t>
            </w:r>
            <w:r>
              <w:rPr>
                <w:sz w:val="18"/>
              </w:rPr>
              <w:t>nominais</w:t>
            </w:r>
            <w:r>
              <w:rPr>
                <w:spacing w:val="-1"/>
                <w:sz w:val="18"/>
              </w:rPr>
              <w:t> </w:t>
            </w:r>
            <w:r>
              <w:rPr>
                <w:spacing w:val="-2"/>
                <w:sz w:val="18"/>
              </w:rPr>
              <w:t>(34%)</w:t>
            </w:r>
          </w:p>
        </w:tc>
        <w:tc>
          <w:tcPr>
            <w:tcW w:w="2215" w:type="dxa"/>
          </w:tcPr>
          <w:p>
            <w:pPr>
              <w:pStyle w:val="TableParagraph"/>
              <w:spacing w:before="8"/>
              <w:ind w:right="559"/>
              <w:jc w:val="right"/>
              <w:rPr>
                <w:sz w:val="18"/>
              </w:rPr>
            </w:pPr>
            <w:r>
              <w:rPr>
                <w:spacing w:val="-2"/>
                <w:sz w:val="18"/>
              </w:rPr>
              <w:t>(500)</w:t>
            </w:r>
          </w:p>
        </w:tc>
        <w:tc>
          <w:tcPr>
            <w:tcW w:w="1258" w:type="dxa"/>
          </w:tcPr>
          <w:p>
            <w:pPr>
              <w:pStyle w:val="TableParagraph"/>
              <w:spacing w:before="8"/>
              <w:ind w:right="88"/>
              <w:jc w:val="right"/>
              <w:rPr>
                <w:sz w:val="18"/>
              </w:rPr>
            </w:pPr>
            <w:r>
              <w:rPr>
                <w:spacing w:val="-2"/>
                <w:sz w:val="18"/>
              </w:rPr>
              <w:t>(21.863)</w:t>
            </w:r>
          </w:p>
        </w:tc>
      </w:tr>
      <w:tr>
        <w:trPr>
          <w:trHeight w:val="405" w:hRule="atLeast"/>
        </w:trPr>
        <w:tc>
          <w:tcPr>
            <w:tcW w:w="6768" w:type="dxa"/>
          </w:tcPr>
          <w:p>
            <w:pPr>
              <w:pStyle w:val="TableParagraph"/>
              <w:spacing w:before="142"/>
              <w:ind w:left="50"/>
              <w:rPr>
                <w:sz w:val="18"/>
              </w:rPr>
            </w:pPr>
            <w:r>
              <w:rPr>
                <w:sz w:val="18"/>
              </w:rPr>
              <w:t>Ajustes</w:t>
            </w:r>
            <w:r>
              <w:rPr>
                <w:spacing w:val="-3"/>
                <w:sz w:val="18"/>
              </w:rPr>
              <w:t> </w:t>
            </w:r>
            <w:r>
              <w:rPr>
                <w:sz w:val="18"/>
              </w:rPr>
              <w:t>para</w:t>
            </w:r>
            <w:r>
              <w:rPr>
                <w:spacing w:val="-1"/>
                <w:sz w:val="18"/>
              </w:rPr>
              <w:t> </w:t>
            </w:r>
            <w:r>
              <w:rPr>
                <w:sz w:val="18"/>
              </w:rPr>
              <w:t>apuração</w:t>
            </w:r>
            <w:r>
              <w:rPr>
                <w:spacing w:val="-1"/>
                <w:sz w:val="18"/>
              </w:rPr>
              <w:t> </w:t>
            </w:r>
            <w:r>
              <w:rPr>
                <w:sz w:val="18"/>
              </w:rPr>
              <w:t>da</w:t>
            </w:r>
            <w:r>
              <w:rPr>
                <w:spacing w:val="-1"/>
                <w:sz w:val="18"/>
              </w:rPr>
              <w:t> </w:t>
            </w:r>
            <w:r>
              <w:rPr>
                <w:sz w:val="18"/>
              </w:rPr>
              <w:t>alíquota</w:t>
            </w:r>
            <w:r>
              <w:rPr>
                <w:spacing w:val="-2"/>
                <w:sz w:val="18"/>
              </w:rPr>
              <w:t> efetiva:</w:t>
            </w:r>
          </w:p>
        </w:tc>
        <w:tc>
          <w:tcPr>
            <w:tcW w:w="2215" w:type="dxa"/>
          </w:tcPr>
          <w:p>
            <w:pPr>
              <w:pStyle w:val="TableParagraph"/>
              <w:rPr>
                <w:rFonts w:ascii="Times New Roman"/>
                <w:sz w:val="20"/>
              </w:rPr>
            </w:pPr>
          </w:p>
        </w:tc>
        <w:tc>
          <w:tcPr>
            <w:tcW w:w="1258" w:type="dxa"/>
          </w:tcPr>
          <w:p>
            <w:pPr>
              <w:pStyle w:val="TableParagraph"/>
              <w:rPr>
                <w:rFonts w:ascii="Times New Roman"/>
                <w:sz w:val="20"/>
              </w:rPr>
            </w:pPr>
          </w:p>
        </w:tc>
      </w:tr>
      <w:tr>
        <w:trPr>
          <w:trHeight w:val="270" w:hRule="atLeast"/>
        </w:trPr>
        <w:tc>
          <w:tcPr>
            <w:tcW w:w="6768" w:type="dxa"/>
          </w:tcPr>
          <w:p>
            <w:pPr>
              <w:pStyle w:val="TableParagraph"/>
              <w:spacing w:before="10"/>
              <w:ind w:left="257"/>
              <w:rPr>
                <w:sz w:val="18"/>
              </w:rPr>
            </w:pPr>
            <w:r>
              <w:rPr>
                <w:sz w:val="18"/>
              </w:rPr>
              <w:t>Adições/exclusões</w:t>
            </w:r>
            <w:r>
              <w:rPr>
                <w:spacing w:val="-2"/>
                <w:sz w:val="18"/>
              </w:rPr>
              <w:t> </w:t>
            </w:r>
            <w:r>
              <w:rPr>
                <w:sz w:val="18"/>
              </w:rPr>
              <w:t>permanentes,</w:t>
            </w:r>
            <w:r>
              <w:rPr>
                <w:spacing w:val="-2"/>
                <w:sz w:val="18"/>
              </w:rPr>
              <w:t> líquidas</w:t>
            </w:r>
          </w:p>
        </w:tc>
        <w:tc>
          <w:tcPr>
            <w:tcW w:w="2215" w:type="dxa"/>
          </w:tcPr>
          <w:p>
            <w:pPr>
              <w:pStyle w:val="TableParagraph"/>
              <w:spacing w:before="10"/>
              <w:ind w:right="557"/>
              <w:jc w:val="right"/>
              <w:rPr>
                <w:sz w:val="18"/>
              </w:rPr>
            </w:pPr>
            <w:r>
              <w:rPr>
                <w:spacing w:val="-2"/>
                <w:sz w:val="18"/>
              </w:rPr>
              <w:t>(3.287)</w:t>
            </w:r>
          </w:p>
        </w:tc>
        <w:tc>
          <w:tcPr>
            <w:tcW w:w="1258" w:type="dxa"/>
          </w:tcPr>
          <w:p>
            <w:pPr>
              <w:pStyle w:val="TableParagraph"/>
              <w:spacing w:before="10"/>
              <w:ind w:right="90"/>
              <w:jc w:val="right"/>
              <w:rPr>
                <w:sz w:val="18"/>
              </w:rPr>
            </w:pPr>
            <w:r>
              <w:rPr>
                <w:spacing w:val="-2"/>
                <w:sz w:val="18"/>
              </w:rPr>
              <w:t>6.348</w:t>
            </w:r>
          </w:p>
        </w:tc>
      </w:tr>
      <w:tr>
        <w:trPr>
          <w:trHeight w:val="270" w:hRule="atLeast"/>
        </w:trPr>
        <w:tc>
          <w:tcPr>
            <w:tcW w:w="6768" w:type="dxa"/>
          </w:tcPr>
          <w:p>
            <w:pPr>
              <w:pStyle w:val="TableParagraph"/>
              <w:spacing w:before="8"/>
              <w:ind w:left="257"/>
              <w:rPr>
                <w:sz w:val="18"/>
              </w:rPr>
            </w:pPr>
            <w:r>
              <w:rPr>
                <w:sz w:val="18"/>
              </w:rPr>
              <w:t>Prejuízo</w:t>
            </w:r>
            <w:r>
              <w:rPr>
                <w:spacing w:val="-4"/>
                <w:sz w:val="18"/>
              </w:rPr>
              <w:t> </w:t>
            </w:r>
            <w:r>
              <w:rPr>
                <w:sz w:val="18"/>
              </w:rPr>
              <w:t>fiscal</w:t>
            </w:r>
            <w:r>
              <w:rPr>
                <w:spacing w:val="-4"/>
                <w:sz w:val="18"/>
              </w:rPr>
              <w:t> </w:t>
            </w:r>
            <w:r>
              <w:rPr>
                <w:sz w:val="18"/>
              </w:rPr>
              <w:t>e</w:t>
            </w:r>
            <w:r>
              <w:rPr>
                <w:spacing w:val="-3"/>
                <w:sz w:val="18"/>
              </w:rPr>
              <w:t> </w:t>
            </w:r>
            <w:r>
              <w:rPr>
                <w:sz w:val="18"/>
              </w:rPr>
              <w:t>base</w:t>
            </w:r>
            <w:r>
              <w:rPr>
                <w:spacing w:val="-4"/>
                <w:sz w:val="18"/>
              </w:rPr>
              <w:t> </w:t>
            </w:r>
            <w:r>
              <w:rPr>
                <w:sz w:val="18"/>
              </w:rPr>
              <w:t>negativa</w:t>
            </w:r>
            <w:r>
              <w:rPr>
                <w:spacing w:val="-3"/>
                <w:sz w:val="18"/>
              </w:rPr>
              <w:t> </w:t>
            </w:r>
            <w:r>
              <w:rPr>
                <w:sz w:val="18"/>
              </w:rPr>
              <w:t>de</w:t>
            </w:r>
            <w:r>
              <w:rPr>
                <w:spacing w:val="-3"/>
                <w:sz w:val="18"/>
              </w:rPr>
              <w:t> </w:t>
            </w:r>
            <w:r>
              <w:rPr>
                <w:sz w:val="18"/>
              </w:rPr>
              <w:t>contribuição</w:t>
            </w:r>
            <w:r>
              <w:rPr>
                <w:spacing w:val="-3"/>
                <w:sz w:val="18"/>
              </w:rPr>
              <w:t> </w:t>
            </w:r>
            <w:r>
              <w:rPr>
                <w:spacing w:val="-2"/>
                <w:sz w:val="18"/>
              </w:rPr>
              <w:t>social</w:t>
            </w:r>
          </w:p>
        </w:tc>
        <w:tc>
          <w:tcPr>
            <w:tcW w:w="2215" w:type="dxa"/>
          </w:tcPr>
          <w:p>
            <w:pPr>
              <w:pStyle w:val="TableParagraph"/>
              <w:spacing w:before="8"/>
              <w:ind w:right="557"/>
              <w:jc w:val="right"/>
              <w:rPr>
                <w:sz w:val="18"/>
              </w:rPr>
            </w:pPr>
            <w:r>
              <w:rPr>
                <w:spacing w:val="-2"/>
                <w:sz w:val="18"/>
              </w:rPr>
              <w:t>(22.445)</w:t>
            </w:r>
          </w:p>
        </w:tc>
        <w:tc>
          <w:tcPr>
            <w:tcW w:w="1258" w:type="dxa"/>
          </w:tcPr>
          <w:p>
            <w:pPr>
              <w:pStyle w:val="TableParagraph"/>
              <w:spacing w:before="8"/>
              <w:ind w:right="88"/>
              <w:jc w:val="right"/>
              <w:rPr>
                <w:sz w:val="18"/>
              </w:rPr>
            </w:pPr>
            <w:r>
              <w:rPr>
                <w:spacing w:val="-2"/>
                <w:sz w:val="18"/>
              </w:rPr>
              <w:t>(20.824)</w:t>
            </w:r>
          </w:p>
        </w:tc>
      </w:tr>
      <w:tr>
        <w:trPr>
          <w:trHeight w:val="270" w:hRule="atLeast"/>
        </w:trPr>
        <w:tc>
          <w:tcPr>
            <w:tcW w:w="6768" w:type="dxa"/>
          </w:tcPr>
          <w:p>
            <w:pPr>
              <w:pStyle w:val="TableParagraph"/>
              <w:spacing w:before="9"/>
              <w:ind w:left="257"/>
              <w:rPr>
                <w:sz w:val="18"/>
              </w:rPr>
            </w:pPr>
            <w:r>
              <w:rPr>
                <w:sz w:val="18"/>
              </w:rPr>
              <w:t>Provisão</w:t>
            </w:r>
            <w:r>
              <w:rPr>
                <w:spacing w:val="-2"/>
                <w:sz w:val="18"/>
              </w:rPr>
              <w:t> </w:t>
            </w:r>
            <w:r>
              <w:rPr>
                <w:sz w:val="18"/>
              </w:rPr>
              <w:t>para</w:t>
            </w:r>
            <w:r>
              <w:rPr>
                <w:spacing w:val="-2"/>
                <w:sz w:val="18"/>
              </w:rPr>
              <w:t> </w:t>
            </w:r>
            <w:r>
              <w:rPr>
                <w:sz w:val="18"/>
              </w:rPr>
              <w:t>perdas</w:t>
            </w:r>
            <w:r>
              <w:rPr>
                <w:spacing w:val="-1"/>
                <w:sz w:val="18"/>
              </w:rPr>
              <w:t> </w:t>
            </w:r>
            <w:r>
              <w:rPr>
                <w:sz w:val="18"/>
              </w:rPr>
              <w:t>de</w:t>
            </w:r>
            <w:r>
              <w:rPr>
                <w:spacing w:val="-2"/>
                <w:sz w:val="18"/>
              </w:rPr>
              <w:t> estoques</w:t>
            </w:r>
          </w:p>
        </w:tc>
        <w:tc>
          <w:tcPr>
            <w:tcW w:w="2215" w:type="dxa"/>
          </w:tcPr>
          <w:p>
            <w:pPr>
              <w:pStyle w:val="TableParagraph"/>
              <w:spacing w:before="9"/>
              <w:ind w:right="556"/>
              <w:jc w:val="right"/>
              <w:rPr>
                <w:sz w:val="18"/>
              </w:rPr>
            </w:pPr>
            <w:r>
              <w:rPr>
                <w:spacing w:val="-10"/>
                <w:sz w:val="18"/>
              </w:rPr>
              <w:t>‐</w:t>
            </w:r>
          </w:p>
        </w:tc>
        <w:tc>
          <w:tcPr>
            <w:tcW w:w="1258" w:type="dxa"/>
          </w:tcPr>
          <w:p>
            <w:pPr>
              <w:pStyle w:val="TableParagraph"/>
              <w:spacing w:before="9"/>
              <w:ind w:right="90"/>
              <w:jc w:val="right"/>
              <w:rPr>
                <w:sz w:val="18"/>
              </w:rPr>
            </w:pPr>
            <w:r>
              <w:rPr>
                <w:spacing w:val="-5"/>
                <w:sz w:val="18"/>
              </w:rPr>
              <w:t>158</w:t>
            </w:r>
          </w:p>
        </w:tc>
      </w:tr>
      <w:tr>
        <w:trPr>
          <w:trHeight w:val="270" w:hRule="atLeast"/>
        </w:trPr>
        <w:tc>
          <w:tcPr>
            <w:tcW w:w="6768" w:type="dxa"/>
          </w:tcPr>
          <w:p>
            <w:pPr>
              <w:pStyle w:val="TableParagraph"/>
              <w:spacing w:before="8"/>
              <w:ind w:left="257"/>
              <w:rPr>
                <w:sz w:val="18"/>
              </w:rPr>
            </w:pPr>
            <w:r>
              <w:rPr>
                <w:sz w:val="18"/>
              </w:rPr>
              <w:t>Planos</w:t>
            </w:r>
            <w:r>
              <w:rPr>
                <w:spacing w:val="-2"/>
                <w:sz w:val="18"/>
              </w:rPr>
              <w:t> </w:t>
            </w:r>
            <w:r>
              <w:rPr>
                <w:sz w:val="18"/>
              </w:rPr>
              <w:t>de</w:t>
            </w:r>
            <w:r>
              <w:rPr>
                <w:spacing w:val="-2"/>
                <w:sz w:val="18"/>
              </w:rPr>
              <w:t> </w:t>
            </w:r>
            <w:r>
              <w:rPr>
                <w:sz w:val="18"/>
              </w:rPr>
              <w:t>pensão</w:t>
            </w:r>
            <w:r>
              <w:rPr>
                <w:spacing w:val="-1"/>
                <w:sz w:val="18"/>
              </w:rPr>
              <w:t> </w:t>
            </w:r>
            <w:r>
              <w:rPr>
                <w:sz w:val="18"/>
              </w:rPr>
              <w:t>e</w:t>
            </w:r>
            <w:r>
              <w:rPr>
                <w:spacing w:val="-1"/>
                <w:sz w:val="18"/>
              </w:rPr>
              <w:t> </w:t>
            </w:r>
            <w:r>
              <w:rPr>
                <w:spacing w:val="-4"/>
                <w:sz w:val="18"/>
              </w:rPr>
              <w:t>saúde</w:t>
            </w:r>
          </w:p>
        </w:tc>
        <w:tc>
          <w:tcPr>
            <w:tcW w:w="2215" w:type="dxa"/>
          </w:tcPr>
          <w:p>
            <w:pPr>
              <w:pStyle w:val="TableParagraph"/>
              <w:spacing w:before="8"/>
              <w:ind w:right="556"/>
              <w:jc w:val="right"/>
              <w:rPr>
                <w:sz w:val="18"/>
              </w:rPr>
            </w:pPr>
            <w:r>
              <w:rPr>
                <w:spacing w:val="-10"/>
                <w:sz w:val="18"/>
              </w:rPr>
              <w:t>‐</w:t>
            </w:r>
          </w:p>
        </w:tc>
        <w:tc>
          <w:tcPr>
            <w:tcW w:w="1258" w:type="dxa"/>
          </w:tcPr>
          <w:p>
            <w:pPr>
              <w:pStyle w:val="TableParagraph"/>
              <w:spacing w:before="8"/>
              <w:ind w:right="90"/>
              <w:jc w:val="right"/>
              <w:rPr>
                <w:sz w:val="18"/>
              </w:rPr>
            </w:pPr>
            <w:r>
              <w:rPr>
                <w:spacing w:val="-2"/>
                <w:sz w:val="18"/>
              </w:rPr>
              <w:t>13.853</w:t>
            </w:r>
          </w:p>
        </w:tc>
      </w:tr>
      <w:tr>
        <w:trPr>
          <w:trHeight w:val="270" w:hRule="atLeast"/>
        </w:trPr>
        <w:tc>
          <w:tcPr>
            <w:tcW w:w="6768" w:type="dxa"/>
          </w:tcPr>
          <w:p>
            <w:pPr>
              <w:pStyle w:val="TableParagraph"/>
              <w:spacing w:before="9"/>
              <w:ind w:left="257"/>
              <w:rPr>
                <w:sz w:val="18"/>
              </w:rPr>
            </w:pPr>
            <w:r>
              <w:rPr>
                <w:sz w:val="18"/>
              </w:rPr>
              <w:t>Provisão</w:t>
            </w:r>
            <w:r>
              <w:rPr>
                <w:spacing w:val="-3"/>
                <w:sz w:val="18"/>
              </w:rPr>
              <w:t> </w:t>
            </w:r>
            <w:r>
              <w:rPr>
                <w:sz w:val="18"/>
              </w:rPr>
              <w:t>para</w:t>
            </w:r>
            <w:r>
              <w:rPr>
                <w:spacing w:val="-2"/>
                <w:sz w:val="18"/>
              </w:rPr>
              <w:t> </w:t>
            </w:r>
            <w:r>
              <w:rPr>
                <w:sz w:val="18"/>
              </w:rPr>
              <w:t>perdas</w:t>
            </w:r>
            <w:r>
              <w:rPr>
                <w:spacing w:val="-3"/>
                <w:sz w:val="18"/>
              </w:rPr>
              <w:t> </w:t>
            </w:r>
            <w:r>
              <w:rPr>
                <w:sz w:val="18"/>
              </w:rPr>
              <w:t>com</w:t>
            </w:r>
            <w:r>
              <w:rPr>
                <w:spacing w:val="-2"/>
                <w:sz w:val="18"/>
              </w:rPr>
              <w:t> </w:t>
            </w:r>
            <w:r>
              <w:rPr>
                <w:sz w:val="18"/>
              </w:rPr>
              <w:t>créditos</w:t>
            </w:r>
            <w:r>
              <w:rPr>
                <w:spacing w:val="-2"/>
                <w:sz w:val="18"/>
              </w:rPr>
              <w:t> fiscais</w:t>
            </w:r>
          </w:p>
        </w:tc>
        <w:tc>
          <w:tcPr>
            <w:tcW w:w="2215" w:type="dxa"/>
          </w:tcPr>
          <w:p>
            <w:pPr>
              <w:pStyle w:val="TableParagraph"/>
              <w:spacing w:before="9"/>
              <w:ind w:right="559"/>
              <w:jc w:val="right"/>
              <w:rPr>
                <w:sz w:val="18"/>
              </w:rPr>
            </w:pPr>
            <w:r>
              <w:rPr>
                <w:spacing w:val="-2"/>
                <w:sz w:val="18"/>
              </w:rPr>
              <w:t>10.016</w:t>
            </w:r>
          </w:p>
        </w:tc>
        <w:tc>
          <w:tcPr>
            <w:tcW w:w="1258" w:type="dxa"/>
          </w:tcPr>
          <w:p>
            <w:pPr>
              <w:pStyle w:val="TableParagraph"/>
              <w:spacing w:before="9"/>
              <w:ind w:right="90"/>
              <w:jc w:val="right"/>
              <w:rPr>
                <w:sz w:val="18"/>
              </w:rPr>
            </w:pPr>
            <w:r>
              <w:rPr>
                <w:spacing w:val="-5"/>
                <w:sz w:val="18"/>
              </w:rPr>
              <w:t>416</w:t>
            </w:r>
          </w:p>
        </w:tc>
      </w:tr>
      <w:tr>
        <w:trPr>
          <w:trHeight w:val="270" w:hRule="atLeast"/>
        </w:trPr>
        <w:tc>
          <w:tcPr>
            <w:tcW w:w="6768" w:type="dxa"/>
          </w:tcPr>
          <w:p>
            <w:pPr>
              <w:pStyle w:val="TableParagraph"/>
              <w:spacing w:before="8"/>
              <w:ind w:left="257"/>
              <w:rPr>
                <w:sz w:val="18"/>
              </w:rPr>
            </w:pPr>
            <w:r>
              <w:rPr>
                <w:sz w:val="18"/>
              </w:rPr>
              <w:t>Perdas</w:t>
            </w:r>
            <w:r>
              <w:rPr>
                <w:spacing w:val="-2"/>
                <w:sz w:val="18"/>
              </w:rPr>
              <w:t> </w:t>
            </w:r>
            <w:r>
              <w:rPr>
                <w:sz w:val="18"/>
              </w:rPr>
              <w:t>por</w:t>
            </w:r>
            <w:r>
              <w:rPr>
                <w:spacing w:val="-2"/>
                <w:sz w:val="18"/>
              </w:rPr>
              <w:t> </w:t>
            </w:r>
            <w:r>
              <w:rPr>
                <w:sz w:val="18"/>
              </w:rPr>
              <w:t>desvalorização</w:t>
            </w:r>
            <w:r>
              <w:rPr>
                <w:spacing w:val="-2"/>
                <w:sz w:val="18"/>
              </w:rPr>
              <w:t> </w:t>
            </w:r>
            <w:r>
              <w:rPr>
                <w:sz w:val="18"/>
              </w:rPr>
              <w:t>de </w:t>
            </w:r>
            <w:r>
              <w:rPr>
                <w:spacing w:val="-2"/>
                <w:sz w:val="18"/>
              </w:rPr>
              <w:t>ativos</w:t>
            </w:r>
          </w:p>
        </w:tc>
        <w:tc>
          <w:tcPr>
            <w:tcW w:w="2215" w:type="dxa"/>
          </w:tcPr>
          <w:p>
            <w:pPr>
              <w:pStyle w:val="TableParagraph"/>
              <w:spacing w:before="8"/>
              <w:ind w:right="559"/>
              <w:jc w:val="right"/>
              <w:rPr>
                <w:sz w:val="18"/>
              </w:rPr>
            </w:pPr>
            <w:r>
              <w:rPr>
                <w:spacing w:val="-2"/>
                <w:sz w:val="18"/>
              </w:rPr>
              <w:t>15.643</w:t>
            </w:r>
          </w:p>
        </w:tc>
        <w:tc>
          <w:tcPr>
            <w:tcW w:w="1258" w:type="dxa"/>
          </w:tcPr>
          <w:p>
            <w:pPr>
              <w:pStyle w:val="TableParagraph"/>
              <w:spacing w:before="8"/>
              <w:ind w:right="90"/>
              <w:jc w:val="right"/>
              <w:rPr>
                <w:sz w:val="18"/>
              </w:rPr>
            </w:pPr>
            <w:r>
              <w:rPr>
                <w:spacing w:val="-2"/>
                <w:sz w:val="18"/>
              </w:rPr>
              <w:t>22.296</w:t>
            </w:r>
          </w:p>
        </w:tc>
      </w:tr>
      <w:tr>
        <w:trPr>
          <w:trHeight w:val="195" w:hRule="atLeast"/>
        </w:trPr>
        <w:tc>
          <w:tcPr>
            <w:tcW w:w="6768" w:type="dxa"/>
          </w:tcPr>
          <w:p>
            <w:pPr>
              <w:pStyle w:val="TableParagraph"/>
              <w:spacing w:line="165" w:lineRule="exact" w:before="9"/>
              <w:ind w:left="257"/>
              <w:rPr>
                <w:sz w:val="18"/>
              </w:rPr>
            </w:pPr>
            <w:r>
              <w:rPr>
                <w:spacing w:val="-2"/>
                <w:sz w:val="18"/>
              </w:rPr>
              <w:t>Outros</w:t>
            </w:r>
          </w:p>
        </w:tc>
        <w:tc>
          <w:tcPr>
            <w:tcW w:w="2215" w:type="dxa"/>
            <w:tcBorders>
              <w:bottom w:val="single" w:sz="24" w:space="0" w:color="000000"/>
            </w:tcBorders>
          </w:tcPr>
          <w:p>
            <w:pPr>
              <w:pStyle w:val="TableParagraph"/>
              <w:spacing w:line="165" w:lineRule="exact" w:before="9"/>
              <w:ind w:right="558"/>
              <w:jc w:val="right"/>
              <w:rPr>
                <w:sz w:val="18"/>
              </w:rPr>
            </w:pPr>
            <w:r>
              <w:rPr>
                <w:spacing w:val="-5"/>
                <w:sz w:val="18"/>
              </w:rPr>
              <w:t>573</w:t>
            </w:r>
          </w:p>
        </w:tc>
        <w:tc>
          <w:tcPr>
            <w:tcW w:w="1258" w:type="dxa"/>
            <w:tcBorders>
              <w:bottom w:val="single" w:sz="24" w:space="0" w:color="000000"/>
            </w:tcBorders>
          </w:tcPr>
          <w:p>
            <w:pPr>
              <w:pStyle w:val="TableParagraph"/>
              <w:spacing w:line="165" w:lineRule="exact" w:before="9"/>
              <w:ind w:right="19"/>
              <w:jc w:val="right"/>
              <w:rPr>
                <w:sz w:val="18"/>
              </w:rPr>
            </w:pPr>
            <w:r>
              <w:rPr>
                <w:spacing w:val="-2"/>
                <w:sz w:val="18"/>
              </w:rPr>
              <w:t>(384)</w:t>
            </w:r>
          </w:p>
        </w:tc>
      </w:tr>
      <w:tr>
        <w:trPr>
          <w:trHeight w:val="237" w:hRule="atLeast"/>
        </w:trPr>
        <w:tc>
          <w:tcPr>
            <w:tcW w:w="6768" w:type="dxa"/>
          </w:tcPr>
          <w:p>
            <w:pPr>
              <w:pStyle w:val="TableParagraph"/>
              <w:spacing w:line="210" w:lineRule="exact" w:before="8"/>
              <w:ind w:left="50"/>
              <w:rPr>
                <w:sz w:val="18"/>
              </w:rPr>
            </w:pPr>
            <w:r>
              <w:rPr>
                <w:sz w:val="18"/>
              </w:rPr>
              <w:t>Despesa</w:t>
            </w:r>
            <w:r>
              <w:rPr>
                <w:spacing w:val="-4"/>
                <w:sz w:val="18"/>
              </w:rPr>
              <w:t> </w:t>
            </w:r>
            <w:r>
              <w:rPr>
                <w:sz w:val="18"/>
              </w:rPr>
              <w:t>com</w:t>
            </w:r>
            <w:r>
              <w:rPr>
                <w:spacing w:val="-3"/>
                <w:sz w:val="18"/>
              </w:rPr>
              <w:t> </w:t>
            </w:r>
            <w:r>
              <w:rPr>
                <w:sz w:val="18"/>
              </w:rPr>
              <w:t>imposto</w:t>
            </w:r>
            <w:r>
              <w:rPr>
                <w:spacing w:val="-3"/>
                <w:sz w:val="18"/>
              </w:rPr>
              <w:t> </w:t>
            </w:r>
            <w:r>
              <w:rPr>
                <w:sz w:val="18"/>
              </w:rPr>
              <w:t>de</w:t>
            </w:r>
            <w:r>
              <w:rPr>
                <w:spacing w:val="-2"/>
                <w:sz w:val="18"/>
              </w:rPr>
              <w:t> </w:t>
            </w:r>
            <w:r>
              <w:rPr>
                <w:sz w:val="18"/>
              </w:rPr>
              <w:t>renda</w:t>
            </w:r>
            <w:r>
              <w:rPr>
                <w:spacing w:val="-6"/>
                <w:sz w:val="18"/>
              </w:rPr>
              <w:t> </w:t>
            </w:r>
            <w:r>
              <w:rPr>
                <w:sz w:val="18"/>
              </w:rPr>
              <w:t>e</w:t>
            </w:r>
            <w:r>
              <w:rPr>
                <w:spacing w:val="-3"/>
                <w:sz w:val="18"/>
              </w:rPr>
              <w:t> </w:t>
            </w:r>
            <w:r>
              <w:rPr>
                <w:sz w:val="18"/>
              </w:rPr>
              <w:t>contribuição</w:t>
            </w:r>
            <w:r>
              <w:rPr>
                <w:spacing w:val="-2"/>
                <w:sz w:val="18"/>
              </w:rPr>
              <w:t> social</w:t>
            </w:r>
          </w:p>
        </w:tc>
        <w:tc>
          <w:tcPr>
            <w:tcW w:w="2215" w:type="dxa"/>
            <w:tcBorders>
              <w:top w:val="single" w:sz="24" w:space="0" w:color="000000"/>
              <w:bottom w:val="single" w:sz="24" w:space="0" w:color="000000"/>
            </w:tcBorders>
          </w:tcPr>
          <w:p>
            <w:pPr>
              <w:pStyle w:val="TableParagraph"/>
              <w:spacing w:line="210" w:lineRule="exact" w:before="8"/>
              <w:ind w:right="556"/>
              <w:jc w:val="right"/>
              <w:rPr>
                <w:sz w:val="18"/>
              </w:rPr>
            </w:pPr>
            <w:r>
              <w:rPr>
                <w:spacing w:val="-10"/>
                <w:sz w:val="18"/>
              </w:rPr>
              <w:t>‐</w:t>
            </w:r>
          </w:p>
        </w:tc>
        <w:tc>
          <w:tcPr>
            <w:tcW w:w="1258" w:type="dxa"/>
            <w:tcBorders>
              <w:top w:val="single" w:sz="24" w:space="0" w:color="000000"/>
              <w:bottom w:val="single" w:sz="24" w:space="0" w:color="000000"/>
            </w:tcBorders>
          </w:tcPr>
          <w:p>
            <w:pPr>
              <w:pStyle w:val="TableParagraph"/>
              <w:spacing w:line="210" w:lineRule="exact" w:before="8"/>
              <w:ind w:right="91"/>
              <w:jc w:val="right"/>
              <w:rPr>
                <w:sz w:val="18"/>
              </w:rPr>
            </w:pPr>
            <w:r>
              <w:rPr>
                <w:spacing w:val="-10"/>
                <w:sz w:val="18"/>
              </w:rPr>
              <w:t>‐</w:t>
            </w:r>
          </w:p>
        </w:tc>
      </w:tr>
      <w:tr>
        <w:trPr>
          <w:trHeight w:val="257" w:hRule="atLeast"/>
        </w:trPr>
        <w:tc>
          <w:tcPr>
            <w:tcW w:w="6768" w:type="dxa"/>
          </w:tcPr>
          <w:p>
            <w:pPr>
              <w:pStyle w:val="TableParagraph"/>
              <w:ind w:left="50"/>
              <w:rPr>
                <w:sz w:val="18"/>
              </w:rPr>
            </w:pPr>
            <w:r>
              <w:rPr>
                <w:sz w:val="18"/>
              </w:rPr>
              <w:t>Imposto</w:t>
            </w:r>
            <w:r>
              <w:rPr>
                <w:spacing w:val="-5"/>
                <w:sz w:val="18"/>
              </w:rPr>
              <w:t> </w:t>
            </w:r>
            <w:r>
              <w:rPr>
                <w:sz w:val="18"/>
              </w:rPr>
              <w:t>de</w:t>
            </w:r>
            <w:r>
              <w:rPr>
                <w:spacing w:val="-3"/>
                <w:sz w:val="18"/>
              </w:rPr>
              <w:t> </w:t>
            </w:r>
            <w:r>
              <w:rPr>
                <w:sz w:val="18"/>
              </w:rPr>
              <w:t>renda</w:t>
            </w:r>
            <w:r>
              <w:rPr>
                <w:spacing w:val="-2"/>
                <w:sz w:val="18"/>
              </w:rPr>
              <w:t> </w:t>
            </w:r>
            <w:r>
              <w:rPr>
                <w:sz w:val="18"/>
              </w:rPr>
              <w:t>e</w:t>
            </w:r>
            <w:r>
              <w:rPr>
                <w:spacing w:val="-3"/>
                <w:sz w:val="18"/>
              </w:rPr>
              <w:t> </w:t>
            </w:r>
            <w:r>
              <w:rPr>
                <w:sz w:val="18"/>
              </w:rPr>
              <w:t>contribuição</w:t>
            </w:r>
            <w:r>
              <w:rPr>
                <w:spacing w:val="-2"/>
                <w:sz w:val="18"/>
              </w:rPr>
              <w:t> </w:t>
            </w:r>
            <w:r>
              <w:rPr>
                <w:sz w:val="18"/>
              </w:rPr>
              <w:t>social</w:t>
            </w:r>
            <w:r>
              <w:rPr>
                <w:spacing w:val="-3"/>
                <w:sz w:val="18"/>
              </w:rPr>
              <w:t> </w:t>
            </w:r>
            <w:r>
              <w:rPr>
                <w:spacing w:val="-2"/>
                <w:sz w:val="18"/>
              </w:rPr>
              <w:t>diferidos</w:t>
            </w:r>
          </w:p>
        </w:tc>
        <w:tc>
          <w:tcPr>
            <w:tcW w:w="2215" w:type="dxa"/>
            <w:tcBorders>
              <w:top w:val="single" w:sz="24" w:space="0" w:color="000000"/>
            </w:tcBorders>
          </w:tcPr>
          <w:p>
            <w:pPr>
              <w:pStyle w:val="TableParagraph"/>
              <w:ind w:right="556"/>
              <w:jc w:val="right"/>
              <w:rPr>
                <w:sz w:val="18"/>
              </w:rPr>
            </w:pPr>
            <w:r>
              <w:rPr>
                <w:spacing w:val="-10"/>
                <w:sz w:val="18"/>
              </w:rPr>
              <w:t>‐</w:t>
            </w:r>
          </w:p>
        </w:tc>
        <w:tc>
          <w:tcPr>
            <w:tcW w:w="1258" w:type="dxa"/>
            <w:tcBorders>
              <w:top w:val="single" w:sz="24" w:space="0" w:color="000000"/>
            </w:tcBorders>
          </w:tcPr>
          <w:p>
            <w:pPr>
              <w:pStyle w:val="TableParagraph"/>
              <w:ind w:right="91"/>
              <w:jc w:val="right"/>
              <w:rPr>
                <w:sz w:val="18"/>
              </w:rPr>
            </w:pPr>
            <w:r>
              <w:rPr>
                <w:spacing w:val="-10"/>
                <w:sz w:val="18"/>
              </w:rPr>
              <w:t>‐</w:t>
            </w:r>
          </w:p>
        </w:tc>
      </w:tr>
      <w:tr>
        <w:trPr>
          <w:trHeight w:val="198" w:hRule="atLeast"/>
        </w:trPr>
        <w:tc>
          <w:tcPr>
            <w:tcW w:w="6768" w:type="dxa"/>
          </w:tcPr>
          <w:p>
            <w:pPr>
              <w:pStyle w:val="TableParagraph"/>
              <w:spacing w:line="164" w:lineRule="exact" w:before="5"/>
              <w:ind w:left="50"/>
              <w:rPr>
                <w:sz w:val="18"/>
              </w:rPr>
            </w:pPr>
            <w:r>
              <w:rPr>
                <w:sz w:val="18"/>
              </w:rPr>
              <w:t>Imposto</w:t>
            </w:r>
            <w:r>
              <w:rPr>
                <w:spacing w:val="-3"/>
                <w:sz w:val="18"/>
              </w:rPr>
              <w:t> </w:t>
            </w:r>
            <w:r>
              <w:rPr>
                <w:sz w:val="18"/>
              </w:rPr>
              <w:t>de</w:t>
            </w:r>
            <w:r>
              <w:rPr>
                <w:spacing w:val="-3"/>
                <w:sz w:val="18"/>
              </w:rPr>
              <w:t> </w:t>
            </w:r>
            <w:r>
              <w:rPr>
                <w:sz w:val="18"/>
              </w:rPr>
              <w:t>renda</w:t>
            </w:r>
            <w:r>
              <w:rPr>
                <w:spacing w:val="-2"/>
                <w:sz w:val="18"/>
              </w:rPr>
              <w:t> </w:t>
            </w:r>
            <w:r>
              <w:rPr>
                <w:sz w:val="18"/>
              </w:rPr>
              <w:t>e</w:t>
            </w:r>
            <w:r>
              <w:rPr>
                <w:spacing w:val="-3"/>
                <w:sz w:val="18"/>
              </w:rPr>
              <w:t> </w:t>
            </w:r>
            <w:r>
              <w:rPr>
                <w:sz w:val="18"/>
              </w:rPr>
              <w:t>contribuição</w:t>
            </w:r>
            <w:r>
              <w:rPr>
                <w:spacing w:val="-2"/>
                <w:sz w:val="18"/>
              </w:rPr>
              <w:t> </w:t>
            </w:r>
            <w:r>
              <w:rPr>
                <w:sz w:val="18"/>
              </w:rPr>
              <w:t>social</w:t>
            </w:r>
            <w:r>
              <w:rPr>
                <w:spacing w:val="-3"/>
                <w:sz w:val="18"/>
              </w:rPr>
              <w:t> </w:t>
            </w:r>
            <w:r>
              <w:rPr>
                <w:spacing w:val="-2"/>
                <w:sz w:val="18"/>
              </w:rPr>
              <w:t>correntes</w:t>
            </w:r>
          </w:p>
        </w:tc>
        <w:tc>
          <w:tcPr>
            <w:tcW w:w="2215" w:type="dxa"/>
            <w:tcBorders>
              <w:bottom w:val="single" w:sz="18" w:space="0" w:color="000000"/>
            </w:tcBorders>
          </w:tcPr>
          <w:p>
            <w:pPr>
              <w:pStyle w:val="TableParagraph"/>
              <w:spacing w:line="164" w:lineRule="exact" w:before="5"/>
              <w:ind w:right="558"/>
              <w:jc w:val="right"/>
              <w:rPr>
                <w:sz w:val="18"/>
              </w:rPr>
            </w:pPr>
            <w:r>
              <w:rPr>
                <w:spacing w:val="-10"/>
                <w:sz w:val="18"/>
              </w:rPr>
              <w:t>‐</w:t>
            </w:r>
          </w:p>
        </w:tc>
        <w:tc>
          <w:tcPr>
            <w:tcW w:w="1258" w:type="dxa"/>
            <w:tcBorders>
              <w:bottom w:val="single" w:sz="18" w:space="0" w:color="000000"/>
            </w:tcBorders>
          </w:tcPr>
          <w:p>
            <w:pPr>
              <w:pStyle w:val="TableParagraph"/>
              <w:spacing w:line="164" w:lineRule="exact" w:before="5"/>
              <w:ind w:right="19"/>
              <w:jc w:val="right"/>
              <w:rPr>
                <w:sz w:val="18"/>
              </w:rPr>
            </w:pPr>
            <w:r>
              <w:rPr>
                <w:spacing w:val="-10"/>
                <w:sz w:val="18"/>
              </w:rPr>
              <w:t>‐</w:t>
            </w:r>
          </w:p>
        </w:tc>
      </w:tr>
      <w:tr>
        <w:trPr>
          <w:trHeight w:val="248" w:hRule="atLeast"/>
        </w:trPr>
        <w:tc>
          <w:tcPr>
            <w:tcW w:w="6768" w:type="dxa"/>
          </w:tcPr>
          <w:p>
            <w:pPr>
              <w:pStyle w:val="TableParagraph"/>
              <w:rPr>
                <w:rFonts w:ascii="Times New Roman"/>
                <w:sz w:val="18"/>
              </w:rPr>
            </w:pPr>
          </w:p>
        </w:tc>
        <w:tc>
          <w:tcPr>
            <w:tcW w:w="2215" w:type="dxa"/>
            <w:tcBorders>
              <w:top w:val="single" w:sz="18" w:space="0" w:color="000000"/>
              <w:bottom w:val="single" w:sz="24" w:space="0" w:color="000000"/>
            </w:tcBorders>
          </w:tcPr>
          <w:p>
            <w:pPr>
              <w:pStyle w:val="TableParagraph"/>
              <w:spacing w:line="211" w:lineRule="exact" w:before="26"/>
              <w:ind w:right="556"/>
              <w:jc w:val="right"/>
              <w:rPr>
                <w:sz w:val="18"/>
              </w:rPr>
            </w:pPr>
            <w:r>
              <w:rPr>
                <w:spacing w:val="-10"/>
                <w:sz w:val="18"/>
              </w:rPr>
              <w:t>‐</w:t>
            </w:r>
          </w:p>
        </w:tc>
        <w:tc>
          <w:tcPr>
            <w:tcW w:w="1258" w:type="dxa"/>
            <w:tcBorders>
              <w:top w:val="single" w:sz="18" w:space="0" w:color="000000"/>
              <w:bottom w:val="single" w:sz="24" w:space="0" w:color="000000"/>
            </w:tcBorders>
          </w:tcPr>
          <w:p>
            <w:pPr>
              <w:pStyle w:val="TableParagraph"/>
              <w:spacing w:line="211" w:lineRule="exact" w:before="26"/>
              <w:ind w:right="91"/>
              <w:jc w:val="right"/>
              <w:rPr>
                <w:sz w:val="18"/>
              </w:rPr>
            </w:pPr>
            <w:r>
              <w:rPr>
                <w:spacing w:val="-10"/>
                <w:sz w:val="18"/>
              </w:rPr>
              <w:t>‐</w:t>
            </w:r>
          </w:p>
        </w:tc>
      </w:tr>
      <w:tr>
        <w:trPr>
          <w:trHeight w:val="464" w:hRule="atLeast"/>
        </w:trPr>
        <w:tc>
          <w:tcPr>
            <w:tcW w:w="6768" w:type="dxa"/>
          </w:tcPr>
          <w:p>
            <w:pPr>
              <w:pStyle w:val="TableParagraph"/>
              <w:spacing w:before="28"/>
              <w:rPr>
                <w:sz w:val="18"/>
              </w:rPr>
            </w:pPr>
          </w:p>
          <w:p>
            <w:pPr>
              <w:pStyle w:val="TableParagraph"/>
              <w:spacing w:line="196" w:lineRule="exact" w:before="1"/>
              <w:ind w:left="50"/>
              <w:rPr>
                <w:sz w:val="18"/>
              </w:rPr>
            </w:pPr>
            <w:r>
              <w:rPr>
                <w:sz w:val="18"/>
              </w:rPr>
              <w:t>Alíquota</w:t>
            </w:r>
            <w:r>
              <w:rPr>
                <w:spacing w:val="-4"/>
                <w:sz w:val="18"/>
              </w:rPr>
              <w:t> </w:t>
            </w:r>
            <w:r>
              <w:rPr>
                <w:sz w:val="18"/>
              </w:rPr>
              <w:t>efetiva</w:t>
            </w:r>
            <w:r>
              <w:rPr>
                <w:spacing w:val="-3"/>
                <w:sz w:val="18"/>
              </w:rPr>
              <w:t> </w:t>
            </w:r>
            <w:r>
              <w:rPr>
                <w:sz w:val="18"/>
              </w:rPr>
              <w:t>de</w:t>
            </w:r>
            <w:r>
              <w:rPr>
                <w:spacing w:val="-4"/>
                <w:sz w:val="18"/>
              </w:rPr>
              <w:t> </w:t>
            </w:r>
            <w:r>
              <w:rPr>
                <w:sz w:val="18"/>
              </w:rPr>
              <w:t>imposto</w:t>
            </w:r>
            <w:r>
              <w:rPr>
                <w:spacing w:val="-3"/>
                <w:sz w:val="18"/>
              </w:rPr>
              <w:t> </w:t>
            </w:r>
            <w:r>
              <w:rPr>
                <w:sz w:val="18"/>
              </w:rPr>
              <w:t>de</w:t>
            </w:r>
            <w:r>
              <w:rPr>
                <w:spacing w:val="-3"/>
                <w:sz w:val="18"/>
              </w:rPr>
              <w:t> </w:t>
            </w:r>
            <w:r>
              <w:rPr>
                <w:sz w:val="18"/>
              </w:rPr>
              <w:t>renda</w:t>
            </w:r>
            <w:r>
              <w:rPr>
                <w:spacing w:val="-4"/>
                <w:sz w:val="18"/>
              </w:rPr>
              <w:t> </w:t>
            </w:r>
            <w:r>
              <w:rPr>
                <w:sz w:val="18"/>
              </w:rPr>
              <w:t>e</w:t>
            </w:r>
            <w:r>
              <w:rPr>
                <w:spacing w:val="-3"/>
                <w:sz w:val="18"/>
              </w:rPr>
              <w:t> </w:t>
            </w:r>
            <w:r>
              <w:rPr>
                <w:sz w:val="18"/>
              </w:rPr>
              <w:t>contribuição</w:t>
            </w:r>
            <w:r>
              <w:rPr>
                <w:spacing w:val="-3"/>
                <w:sz w:val="18"/>
              </w:rPr>
              <w:t> </w:t>
            </w:r>
            <w:r>
              <w:rPr>
                <w:spacing w:val="-2"/>
                <w:sz w:val="18"/>
              </w:rPr>
              <w:t>social</w:t>
            </w:r>
          </w:p>
        </w:tc>
        <w:tc>
          <w:tcPr>
            <w:tcW w:w="2215" w:type="dxa"/>
            <w:tcBorders>
              <w:top w:val="single" w:sz="24" w:space="0" w:color="000000"/>
            </w:tcBorders>
          </w:tcPr>
          <w:p>
            <w:pPr>
              <w:pStyle w:val="TableParagraph"/>
              <w:spacing w:before="28"/>
              <w:rPr>
                <w:sz w:val="18"/>
              </w:rPr>
            </w:pPr>
          </w:p>
          <w:p>
            <w:pPr>
              <w:pStyle w:val="TableParagraph"/>
              <w:spacing w:line="196" w:lineRule="exact" w:before="1"/>
              <w:ind w:right="558"/>
              <w:jc w:val="right"/>
              <w:rPr>
                <w:sz w:val="18"/>
              </w:rPr>
            </w:pPr>
            <w:r>
              <w:rPr>
                <w:spacing w:val="-4"/>
                <w:sz w:val="18"/>
              </w:rPr>
              <w:t>0,0%</w:t>
            </w:r>
          </w:p>
        </w:tc>
        <w:tc>
          <w:tcPr>
            <w:tcW w:w="1258" w:type="dxa"/>
            <w:tcBorders>
              <w:top w:val="single" w:sz="24" w:space="0" w:color="000000"/>
            </w:tcBorders>
          </w:tcPr>
          <w:p>
            <w:pPr>
              <w:pStyle w:val="TableParagraph"/>
              <w:spacing w:before="28"/>
              <w:rPr>
                <w:sz w:val="18"/>
              </w:rPr>
            </w:pPr>
          </w:p>
          <w:p>
            <w:pPr>
              <w:pStyle w:val="TableParagraph"/>
              <w:spacing w:line="196" w:lineRule="exact" w:before="1"/>
              <w:ind w:right="90"/>
              <w:jc w:val="right"/>
              <w:rPr>
                <w:sz w:val="18"/>
              </w:rPr>
            </w:pPr>
            <w:r>
              <w:rPr>
                <w:spacing w:val="-4"/>
                <w:sz w:val="18"/>
              </w:rPr>
              <w:t>0,0%</w:t>
            </w:r>
          </w:p>
        </w:tc>
      </w:tr>
    </w:tbl>
    <w:p>
      <w:pPr>
        <w:pStyle w:val="BodyText"/>
        <w:spacing w:before="56"/>
      </w:pPr>
    </w:p>
    <w:p>
      <w:pPr>
        <w:pStyle w:val="BodyText"/>
        <w:ind w:left="152" w:right="357" w:hanging="1"/>
        <w:jc w:val="both"/>
      </w:pPr>
      <w:r>
        <w:rPr/>
        <w:t>As</w:t>
      </w:r>
      <w:r>
        <w:rPr>
          <w:spacing w:val="-5"/>
        </w:rPr>
        <w:t> </w:t>
      </w:r>
      <w:r>
        <w:rPr/>
        <w:t>diferenças</w:t>
      </w:r>
      <w:r>
        <w:rPr>
          <w:spacing w:val="-6"/>
        </w:rPr>
        <w:t> </w:t>
      </w:r>
      <w:r>
        <w:rPr/>
        <w:t>temporárias</w:t>
      </w:r>
      <w:r>
        <w:rPr>
          <w:spacing w:val="-6"/>
        </w:rPr>
        <w:t> </w:t>
      </w:r>
      <w:r>
        <w:rPr/>
        <w:t>dedutíveis</w:t>
      </w:r>
      <w:r>
        <w:rPr>
          <w:spacing w:val="-6"/>
        </w:rPr>
        <w:t> </w:t>
      </w:r>
      <w:r>
        <w:rPr/>
        <w:t>e</w:t>
      </w:r>
      <w:r>
        <w:rPr>
          <w:spacing w:val="-4"/>
        </w:rPr>
        <w:t> </w:t>
      </w:r>
      <w:r>
        <w:rPr/>
        <w:t>os</w:t>
      </w:r>
      <w:r>
        <w:rPr>
          <w:spacing w:val="-4"/>
        </w:rPr>
        <w:t> </w:t>
      </w:r>
      <w:r>
        <w:rPr/>
        <w:t>prejuízos</w:t>
      </w:r>
      <w:r>
        <w:rPr>
          <w:spacing w:val="-4"/>
        </w:rPr>
        <w:t> </w:t>
      </w:r>
      <w:r>
        <w:rPr/>
        <w:t>fiscais</w:t>
      </w:r>
      <w:r>
        <w:rPr>
          <w:spacing w:val="-4"/>
        </w:rPr>
        <w:t> </w:t>
      </w:r>
      <w:r>
        <w:rPr/>
        <w:t>acumulados</w:t>
      </w:r>
      <w:r>
        <w:rPr>
          <w:spacing w:val="-4"/>
        </w:rPr>
        <w:t> </w:t>
      </w:r>
      <w:r>
        <w:rPr/>
        <w:t>não</w:t>
      </w:r>
      <w:r>
        <w:rPr>
          <w:spacing w:val="-2"/>
        </w:rPr>
        <w:t> </w:t>
      </w:r>
      <w:r>
        <w:rPr/>
        <w:t>prescrevem</w:t>
      </w:r>
      <w:r>
        <w:rPr>
          <w:spacing w:val="-2"/>
        </w:rPr>
        <w:t> </w:t>
      </w:r>
      <w:r>
        <w:rPr/>
        <w:t>de</w:t>
      </w:r>
      <w:r>
        <w:rPr>
          <w:spacing w:val="-4"/>
        </w:rPr>
        <w:t> </w:t>
      </w:r>
      <w:r>
        <w:rPr/>
        <w:t>acordo</w:t>
      </w:r>
      <w:r>
        <w:rPr>
          <w:spacing w:val="-4"/>
        </w:rPr>
        <w:t> </w:t>
      </w:r>
      <w:r>
        <w:rPr/>
        <w:t>com</w:t>
      </w:r>
      <w:r>
        <w:rPr>
          <w:spacing w:val="-7"/>
        </w:rPr>
        <w:t> </w:t>
      </w:r>
      <w:r>
        <w:rPr/>
        <w:t>a</w:t>
      </w:r>
      <w:r>
        <w:rPr>
          <w:spacing w:val="-3"/>
        </w:rPr>
        <w:t> </w:t>
      </w:r>
      <w:r>
        <w:rPr/>
        <w:t>legislação tributária vigente. Ativos fiscais diferidos não foram reconhecidos com relação a estes itens, pois não é provável, nas</w:t>
      </w:r>
      <w:r>
        <w:rPr>
          <w:spacing w:val="-7"/>
        </w:rPr>
        <w:t> </w:t>
      </w:r>
      <w:r>
        <w:rPr/>
        <w:t>atuais</w:t>
      </w:r>
      <w:r>
        <w:rPr>
          <w:spacing w:val="-6"/>
        </w:rPr>
        <w:t> </w:t>
      </w:r>
      <w:r>
        <w:rPr/>
        <w:t>circunstâncias,</w:t>
      </w:r>
      <w:r>
        <w:rPr>
          <w:spacing w:val="-6"/>
        </w:rPr>
        <w:t> </w:t>
      </w:r>
      <w:r>
        <w:rPr/>
        <w:t>que</w:t>
      </w:r>
      <w:r>
        <w:rPr>
          <w:spacing w:val="-6"/>
        </w:rPr>
        <w:t> </w:t>
      </w:r>
      <w:r>
        <w:rPr/>
        <w:t>os</w:t>
      </w:r>
      <w:r>
        <w:rPr>
          <w:spacing w:val="-6"/>
        </w:rPr>
        <w:t> </w:t>
      </w:r>
      <w:r>
        <w:rPr/>
        <w:t>lucros</w:t>
      </w:r>
      <w:r>
        <w:rPr>
          <w:spacing w:val="-6"/>
        </w:rPr>
        <w:t> </w:t>
      </w:r>
      <w:r>
        <w:rPr/>
        <w:t>tributários</w:t>
      </w:r>
      <w:r>
        <w:rPr>
          <w:spacing w:val="-6"/>
        </w:rPr>
        <w:t> </w:t>
      </w:r>
      <w:r>
        <w:rPr/>
        <w:t>futuros</w:t>
      </w:r>
      <w:r>
        <w:rPr>
          <w:spacing w:val="-7"/>
        </w:rPr>
        <w:t> </w:t>
      </w:r>
      <w:r>
        <w:rPr/>
        <w:t>estejam</w:t>
      </w:r>
      <w:r>
        <w:rPr>
          <w:spacing w:val="-6"/>
        </w:rPr>
        <w:t> </w:t>
      </w:r>
      <w:r>
        <w:rPr/>
        <w:t>disponíveis</w:t>
      </w:r>
      <w:r>
        <w:rPr>
          <w:spacing w:val="-3"/>
        </w:rPr>
        <w:t> </w:t>
      </w:r>
      <w:r>
        <w:rPr/>
        <w:t>para</w:t>
      </w:r>
      <w:r>
        <w:rPr>
          <w:spacing w:val="-7"/>
        </w:rPr>
        <w:t> </w:t>
      </w:r>
      <w:r>
        <w:rPr/>
        <w:t>que</w:t>
      </w:r>
      <w:r>
        <w:rPr>
          <w:spacing w:val="-6"/>
        </w:rPr>
        <w:t> </w:t>
      </w:r>
      <w:r>
        <w:rPr/>
        <w:t>a</w:t>
      </w:r>
      <w:r>
        <w:rPr>
          <w:spacing w:val="-6"/>
        </w:rPr>
        <w:t> </w:t>
      </w:r>
      <w:r>
        <w:rPr/>
        <w:t>Companhia</w:t>
      </w:r>
      <w:r>
        <w:rPr>
          <w:spacing w:val="-5"/>
        </w:rPr>
        <w:t> </w:t>
      </w:r>
      <w:r>
        <w:rPr/>
        <w:t>possa</w:t>
      </w:r>
      <w:r>
        <w:rPr>
          <w:spacing w:val="-9"/>
        </w:rPr>
        <w:t> </w:t>
      </w:r>
      <w:r>
        <w:rPr/>
        <w:t>utilizar os benefícios destes impostos.</w:t>
      </w:r>
    </w:p>
    <w:p>
      <w:pPr>
        <w:pStyle w:val="Heading5"/>
        <w:spacing w:before="240"/>
      </w:pPr>
      <w:r>
        <w:rPr/>
        <w:t>Política</w:t>
      </w:r>
      <w:r>
        <w:rPr>
          <w:spacing w:val="-9"/>
        </w:rPr>
        <w:t> </w:t>
      </w:r>
      <w:r>
        <w:rPr>
          <w:spacing w:val="-2"/>
        </w:rPr>
        <w:t>contábil</w:t>
      </w:r>
    </w:p>
    <w:p>
      <w:pPr>
        <w:pStyle w:val="BodyText"/>
        <w:spacing w:before="239"/>
        <w:ind w:left="151" w:right="355"/>
        <w:jc w:val="both"/>
      </w:pPr>
      <w:r>
        <w:rPr/>
        <w:t>As</w:t>
      </w:r>
      <w:r>
        <w:rPr>
          <w:spacing w:val="-13"/>
        </w:rPr>
        <w:t> </w:t>
      </w:r>
      <w:r>
        <w:rPr/>
        <w:t>despesas</w:t>
      </w:r>
      <w:r>
        <w:rPr>
          <w:spacing w:val="-12"/>
        </w:rPr>
        <w:t> </w:t>
      </w:r>
      <w:r>
        <w:rPr/>
        <w:t>de</w:t>
      </w:r>
      <w:r>
        <w:rPr>
          <w:spacing w:val="-13"/>
        </w:rPr>
        <w:t> </w:t>
      </w:r>
      <w:r>
        <w:rPr/>
        <w:t>imposto</w:t>
      </w:r>
      <w:r>
        <w:rPr>
          <w:spacing w:val="-12"/>
        </w:rPr>
        <w:t> </w:t>
      </w:r>
      <w:r>
        <w:rPr/>
        <w:t>de</w:t>
      </w:r>
      <w:r>
        <w:rPr>
          <w:spacing w:val="-13"/>
        </w:rPr>
        <w:t> </w:t>
      </w:r>
      <w:r>
        <w:rPr/>
        <w:t>renda</w:t>
      </w:r>
      <w:r>
        <w:rPr>
          <w:spacing w:val="-11"/>
        </w:rPr>
        <w:t> </w:t>
      </w:r>
      <w:r>
        <w:rPr/>
        <w:t>e</w:t>
      </w:r>
      <w:r>
        <w:rPr>
          <w:spacing w:val="-12"/>
        </w:rPr>
        <w:t> </w:t>
      </w:r>
      <w:r>
        <w:rPr/>
        <w:t>contribuição</w:t>
      </w:r>
      <w:r>
        <w:rPr>
          <w:spacing w:val="-13"/>
        </w:rPr>
        <w:t> </w:t>
      </w:r>
      <w:r>
        <w:rPr/>
        <w:t>social</w:t>
      </w:r>
      <w:r>
        <w:rPr>
          <w:spacing w:val="-12"/>
        </w:rPr>
        <w:t> </w:t>
      </w:r>
      <w:r>
        <w:rPr/>
        <w:t>do</w:t>
      </w:r>
      <w:r>
        <w:rPr>
          <w:spacing w:val="-12"/>
        </w:rPr>
        <w:t> </w:t>
      </w:r>
      <w:r>
        <w:rPr/>
        <w:t>exercício</w:t>
      </w:r>
      <w:r>
        <w:rPr>
          <w:spacing w:val="-11"/>
        </w:rPr>
        <w:t> </w:t>
      </w:r>
      <w:r>
        <w:rPr/>
        <w:t>compreendem</w:t>
      </w:r>
      <w:r>
        <w:rPr>
          <w:spacing w:val="-13"/>
        </w:rPr>
        <w:t> </w:t>
      </w:r>
      <w:r>
        <w:rPr/>
        <w:t>os</w:t>
      </w:r>
      <w:r>
        <w:rPr>
          <w:spacing w:val="-12"/>
        </w:rPr>
        <w:t> </w:t>
      </w:r>
      <w:r>
        <w:rPr/>
        <w:t>impostos</w:t>
      </w:r>
      <w:r>
        <w:rPr>
          <w:spacing w:val="-12"/>
        </w:rPr>
        <w:t> </w:t>
      </w:r>
      <w:r>
        <w:rPr/>
        <w:t>correntes</w:t>
      </w:r>
      <w:r>
        <w:rPr>
          <w:spacing w:val="-11"/>
        </w:rPr>
        <w:t> </w:t>
      </w:r>
      <w:r>
        <w:rPr/>
        <w:t>e</w:t>
      </w:r>
      <w:r>
        <w:rPr>
          <w:spacing w:val="-11"/>
        </w:rPr>
        <w:t> </w:t>
      </w:r>
      <w:r>
        <w:rPr/>
        <w:t>diferidos e são reconhecidos no resultado a menos que estejam relacionados a itens diretamente reconhecidos no patrimônio líquido.</w:t>
      </w:r>
    </w:p>
    <w:p>
      <w:pPr>
        <w:pStyle w:val="Heading5"/>
        <w:numPr>
          <w:ilvl w:val="0"/>
          <w:numId w:val="12"/>
        </w:numPr>
        <w:tabs>
          <w:tab w:pos="377" w:val="left" w:leader="none"/>
        </w:tabs>
        <w:spacing w:line="240" w:lineRule="auto" w:before="241" w:after="0"/>
        <w:ind w:left="377" w:right="0" w:hanging="227"/>
        <w:jc w:val="left"/>
      </w:pPr>
      <w:r>
        <w:rPr/>
        <w:t>Imposto</w:t>
      </w:r>
      <w:r>
        <w:rPr>
          <w:spacing w:val="-8"/>
        </w:rPr>
        <w:t> </w:t>
      </w:r>
      <w:r>
        <w:rPr/>
        <w:t>de</w:t>
      </w:r>
      <w:r>
        <w:rPr>
          <w:spacing w:val="-6"/>
        </w:rPr>
        <w:t> </w:t>
      </w:r>
      <w:r>
        <w:rPr/>
        <w:t>renda</w:t>
      </w:r>
      <w:r>
        <w:rPr>
          <w:spacing w:val="-7"/>
        </w:rPr>
        <w:t> </w:t>
      </w:r>
      <w:r>
        <w:rPr/>
        <w:t>e</w:t>
      </w:r>
      <w:r>
        <w:rPr>
          <w:spacing w:val="-6"/>
        </w:rPr>
        <w:t> </w:t>
      </w:r>
      <w:r>
        <w:rPr/>
        <w:t>contribuição</w:t>
      </w:r>
      <w:r>
        <w:rPr>
          <w:spacing w:val="-9"/>
        </w:rPr>
        <w:t> </w:t>
      </w:r>
      <w:r>
        <w:rPr/>
        <w:t>social</w:t>
      </w:r>
      <w:r>
        <w:rPr>
          <w:spacing w:val="-12"/>
        </w:rPr>
        <w:t> </w:t>
      </w:r>
      <w:r>
        <w:rPr>
          <w:spacing w:val="-2"/>
        </w:rPr>
        <w:t>correntes</w:t>
      </w:r>
    </w:p>
    <w:p>
      <w:pPr>
        <w:pStyle w:val="BodyText"/>
        <w:spacing w:before="241"/>
        <w:ind w:left="151" w:right="358"/>
        <w:jc w:val="both"/>
      </w:pPr>
      <w:r>
        <w:rPr/>
        <w:t>São calculados com base no lucro tributável apurado conforme legislação pertinente e alíquotas vigentes no final do período que está sendo reportado.</w:t>
      </w:r>
    </w:p>
    <w:p>
      <w:pPr>
        <w:pStyle w:val="BodyText"/>
        <w:spacing w:before="238"/>
        <w:ind w:left="152" w:right="353" w:hanging="1"/>
        <w:jc w:val="both"/>
      </w:pPr>
      <w:r>
        <w:rPr/>
        <w:t>O imposto de renda e a contribuição social correntes são apresentados líquidos, quando existe direito legalmente executável</w:t>
      </w:r>
      <w:r>
        <w:rPr>
          <w:spacing w:val="-7"/>
        </w:rPr>
        <w:t> </w:t>
      </w:r>
      <w:r>
        <w:rPr/>
        <w:t>para</w:t>
      </w:r>
      <w:r>
        <w:rPr>
          <w:spacing w:val="-9"/>
        </w:rPr>
        <w:t> </w:t>
      </w:r>
      <w:r>
        <w:rPr/>
        <w:t>compensar</w:t>
      </w:r>
      <w:r>
        <w:rPr>
          <w:spacing w:val="-12"/>
        </w:rPr>
        <w:t> </w:t>
      </w:r>
      <w:r>
        <w:rPr/>
        <w:t>os</w:t>
      </w:r>
      <w:r>
        <w:rPr>
          <w:spacing w:val="-10"/>
        </w:rPr>
        <w:t> </w:t>
      </w:r>
      <w:r>
        <w:rPr/>
        <w:t>valores</w:t>
      </w:r>
      <w:r>
        <w:rPr>
          <w:spacing w:val="-9"/>
        </w:rPr>
        <w:t> </w:t>
      </w:r>
      <w:r>
        <w:rPr/>
        <w:t>reconhecidos</w:t>
      </w:r>
      <w:r>
        <w:rPr>
          <w:spacing w:val="-9"/>
        </w:rPr>
        <w:t> </w:t>
      </w:r>
      <w:r>
        <w:rPr/>
        <w:t>e</w:t>
      </w:r>
      <w:r>
        <w:rPr>
          <w:spacing w:val="-10"/>
        </w:rPr>
        <w:t> </w:t>
      </w:r>
      <w:r>
        <w:rPr/>
        <w:t>quando</w:t>
      </w:r>
      <w:r>
        <w:rPr>
          <w:spacing w:val="-6"/>
        </w:rPr>
        <w:t> </w:t>
      </w:r>
      <w:r>
        <w:rPr/>
        <w:t>há</w:t>
      </w:r>
      <w:r>
        <w:rPr>
          <w:spacing w:val="-9"/>
        </w:rPr>
        <w:t> </w:t>
      </w:r>
      <w:r>
        <w:rPr/>
        <w:t>intenção</w:t>
      </w:r>
      <w:r>
        <w:rPr>
          <w:spacing w:val="-6"/>
        </w:rPr>
        <w:t> </w:t>
      </w:r>
      <w:r>
        <w:rPr/>
        <w:t>de</w:t>
      </w:r>
      <w:r>
        <w:rPr>
          <w:spacing w:val="-10"/>
        </w:rPr>
        <w:t> </w:t>
      </w:r>
      <w:r>
        <w:rPr/>
        <w:t>liquidar</w:t>
      </w:r>
      <w:r>
        <w:rPr>
          <w:spacing w:val="-8"/>
        </w:rPr>
        <w:t> </w:t>
      </w:r>
      <w:r>
        <w:rPr/>
        <w:t>em</w:t>
      </w:r>
      <w:r>
        <w:rPr>
          <w:spacing w:val="-8"/>
        </w:rPr>
        <w:t> </w:t>
      </w:r>
      <w:r>
        <w:rPr/>
        <w:t>bases</w:t>
      </w:r>
      <w:r>
        <w:rPr>
          <w:spacing w:val="-10"/>
        </w:rPr>
        <w:t> </w:t>
      </w:r>
      <w:r>
        <w:rPr/>
        <w:t>líquidas,</w:t>
      </w:r>
      <w:r>
        <w:rPr>
          <w:spacing w:val="-9"/>
        </w:rPr>
        <w:t> </w:t>
      </w:r>
      <w:r>
        <w:rPr/>
        <w:t>ou</w:t>
      </w:r>
      <w:r>
        <w:rPr>
          <w:spacing w:val="-10"/>
        </w:rPr>
        <w:t> </w:t>
      </w:r>
      <w:r>
        <w:rPr/>
        <w:t>realizar o ativo e liquidar o passivo simultaneamente.</w:t>
      </w:r>
    </w:p>
    <w:p>
      <w:pPr>
        <w:pStyle w:val="Heading5"/>
        <w:numPr>
          <w:ilvl w:val="0"/>
          <w:numId w:val="12"/>
        </w:numPr>
        <w:tabs>
          <w:tab w:pos="386" w:val="left" w:leader="none"/>
        </w:tabs>
        <w:spacing w:line="240" w:lineRule="auto" w:before="241" w:after="0"/>
        <w:ind w:left="386" w:right="0" w:hanging="236"/>
        <w:jc w:val="left"/>
      </w:pPr>
      <w:r>
        <w:rPr/>
        <w:t>Imposto</w:t>
      </w:r>
      <w:r>
        <w:rPr>
          <w:spacing w:val="-8"/>
        </w:rPr>
        <w:t> </w:t>
      </w:r>
      <w:r>
        <w:rPr/>
        <w:t>de</w:t>
      </w:r>
      <w:r>
        <w:rPr>
          <w:spacing w:val="-6"/>
        </w:rPr>
        <w:t> </w:t>
      </w:r>
      <w:r>
        <w:rPr/>
        <w:t>renda</w:t>
      </w:r>
      <w:r>
        <w:rPr>
          <w:spacing w:val="-7"/>
        </w:rPr>
        <w:t> </w:t>
      </w:r>
      <w:r>
        <w:rPr/>
        <w:t>e</w:t>
      </w:r>
      <w:r>
        <w:rPr>
          <w:spacing w:val="-6"/>
        </w:rPr>
        <w:t> </w:t>
      </w:r>
      <w:r>
        <w:rPr/>
        <w:t>contribuição</w:t>
      </w:r>
      <w:r>
        <w:rPr>
          <w:spacing w:val="-9"/>
        </w:rPr>
        <w:t> </w:t>
      </w:r>
      <w:r>
        <w:rPr/>
        <w:t>social</w:t>
      </w:r>
      <w:r>
        <w:rPr>
          <w:spacing w:val="-11"/>
        </w:rPr>
        <w:t> </w:t>
      </w:r>
      <w:r>
        <w:rPr>
          <w:spacing w:val="-2"/>
        </w:rPr>
        <w:t>diferidos</w:t>
      </w:r>
    </w:p>
    <w:p>
      <w:pPr>
        <w:pStyle w:val="BodyText"/>
        <w:spacing w:before="240"/>
        <w:ind w:left="151" w:right="354"/>
        <w:jc w:val="both"/>
      </w:pPr>
      <w:r>
        <w:rPr/>
        <w:t>São geralmente reconhecidos sobre as diferenças temporárias apuradas entre as bases fiscais de ativos e passivos e seus valores contábeis, e mensurados pelas alíquotas que se espera que sejam aplicáveis no período quando for realizado o ativo ou liquidado o passivo, com base nas alíquotas (e legislação fiscal) que estejam promulgadas ou substantivamente promulgadas ao final do período que está sendo reportado.</w:t>
      </w:r>
    </w:p>
    <w:p>
      <w:pPr>
        <w:spacing w:after="0"/>
        <w:jc w:val="both"/>
        <w:sectPr>
          <w:pgSz w:w="11910" w:h="16840"/>
          <w:pgMar w:header="637" w:footer="630" w:top="1800" w:bottom="820" w:left="700" w:right="480"/>
        </w:sectPr>
      </w:pPr>
    </w:p>
    <w:p>
      <w:pPr>
        <w:pStyle w:val="BodyText"/>
        <w:spacing w:before="17"/>
      </w:pPr>
    </w:p>
    <w:p>
      <w:pPr>
        <w:pStyle w:val="BodyText"/>
        <w:ind w:left="151" w:right="357"/>
        <w:jc w:val="both"/>
      </w:pPr>
      <w:r>
        <w:rPr/>
        <w:t>O ativo fiscal diferido é reconhecido para todas as diferenças temporárias dedutíveis, inclusive para prejuízos e créditos fiscais não utilizados, na medida em que seja provável a existência de lucro tributável contra o qual a diferença temporária dedutível possa ser utilizada, a não ser que o ativo fiscal diferido surja do reconhecimento inicial de ativo ou passivo na transação que não é uma combinação de negócios e no momento da transação não afeta nem o lucro contábil nem o lucro tributável (prejuízo fiscal).</w:t>
      </w:r>
    </w:p>
    <w:p>
      <w:pPr>
        <w:pStyle w:val="BodyText"/>
        <w:spacing w:before="240"/>
        <w:ind w:left="152"/>
        <w:jc w:val="both"/>
      </w:pPr>
      <w:r>
        <w:rPr/>
        <w:t>A</w:t>
      </w:r>
      <w:r>
        <w:rPr>
          <w:spacing w:val="-8"/>
        </w:rPr>
        <w:t> </w:t>
      </w:r>
      <w:r>
        <w:rPr/>
        <w:t>existência</w:t>
      </w:r>
      <w:r>
        <w:rPr>
          <w:spacing w:val="-5"/>
        </w:rPr>
        <w:t> </w:t>
      </w:r>
      <w:r>
        <w:rPr/>
        <w:t>de</w:t>
      </w:r>
      <w:r>
        <w:rPr>
          <w:spacing w:val="-7"/>
        </w:rPr>
        <w:t> </w:t>
      </w:r>
      <w:r>
        <w:rPr/>
        <w:t>lucro</w:t>
      </w:r>
      <w:r>
        <w:rPr>
          <w:spacing w:val="-7"/>
        </w:rPr>
        <w:t> </w:t>
      </w:r>
      <w:r>
        <w:rPr/>
        <w:t>tributável</w:t>
      </w:r>
      <w:r>
        <w:rPr>
          <w:spacing w:val="-7"/>
        </w:rPr>
        <w:t> </w:t>
      </w:r>
      <w:r>
        <w:rPr/>
        <w:t>futuro</w:t>
      </w:r>
      <w:r>
        <w:rPr>
          <w:spacing w:val="-6"/>
        </w:rPr>
        <w:t> </w:t>
      </w:r>
      <w:r>
        <w:rPr/>
        <w:t>baseia‐se</w:t>
      </w:r>
      <w:r>
        <w:rPr>
          <w:spacing w:val="-8"/>
        </w:rPr>
        <w:t> </w:t>
      </w:r>
      <w:r>
        <w:rPr/>
        <w:t>em</w:t>
      </w:r>
      <w:r>
        <w:rPr>
          <w:spacing w:val="-7"/>
        </w:rPr>
        <w:t> </w:t>
      </w:r>
      <w:r>
        <w:rPr/>
        <w:t>estudo</w:t>
      </w:r>
      <w:r>
        <w:rPr>
          <w:spacing w:val="-7"/>
        </w:rPr>
        <w:t> </w:t>
      </w:r>
      <w:r>
        <w:rPr/>
        <w:t>técnico,</w:t>
      </w:r>
      <w:r>
        <w:rPr>
          <w:spacing w:val="-7"/>
        </w:rPr>
        <w:t> </w:t>
      </w:r>
      <w:r>
        <w:rPr/>
        <w:t>aprovado</w:t>
      </w:r>
      <w:r>
        <w:rPr>
          <w:spacing w:val="-6"/>
        </w:rPr>
        <w:t> </w:t>
      </w:r>
      <w:r>
        <w:rPr/>
        <w:t>pela</w:t>
      </w:r>
      <w:r>
        <w:rPr>
          <w:spacing w:val="-8"/>
        </w:rPr>
        <w:t> </w:t>
      </w:r>
      <w:r>
        <w:rPr/>
        <w:t>Administração</w:t>
      </w:r>
      <w:r>
        <w:rPr>
          <w:spacing w:val="-7"/>
        </w:rPr>
        <w:t> </w:t>
      </w:r>
      <w:r>
        <w:rPr/>
        <w:t>da</w:t>
      </w:r>
      <w:r>
        <w:rPr>
          <w:spacing w:val="-8"/>
        </w:rPr>
        <w:t> </w:t>
      </w:r>
      <w:r>
        <w:rPr>
          <w:spacing w:val="-2"/>
        </w:rPr>
        <w:t>Companhia.</w:t>
      </w:r>
    </w:p>
    <w:p>
      <w:pPr>
        <w:pStyle w:val="BodyText"/>
        <w:spacing w:before="241"/>
        <w:ind w:left="152" w:right="354"/>
        <w:jc w:val="both"/>
      </w:pPr>
      <w:r>
        <w:rPr/>
        <w:t>O imposto de renda e a contribuição social diferidos são apresentados líquidos, quando existe direito legalmente executável</w:t>
      </w:r>
      <w:r>
        <w:rPr>
          <w:spacing w:val="-8"/>
        </w:rPr>
        <w:t> </w:t>
      </w:r>
      <w:r>
        <w:rPr/>
        <w:t>à</w:t>
      </w:r>
      <w:r>
        <w:rPr>
          <w:spacing w:val="-10"/>
        </w:rPr>
        <w:t> </w:t>
      </w:r>
      <w:r>
        <w:rPr/>
        <w:t>compensação</w:t>
      </w:r>
      <w:r>
        <w:rPr>
          <w:spacing w:val="-10"/>
        </w:rPr>
        <w:t> </w:t>
      </w:r>
      <w:r>
        <w:rPr/>
        <w:t>dos</w:t>
      </w:r>
      <w:r>
        <w:rPr>
          <w:spacing w:val="-10"/>
        </w:rPr>
        <w:t> </w:t>
      </w:r>
      <w:r>
        <w:rPr/>
        <w:t>ativos</w:t>
      </w:r>
      <w:r>
        <w:rPr>
          <w:spacing w:val="-10"/>
        </w:rPr>
        <w:t> </w:t>
      </w:r>
      <w:r>
        <w:rPr/>
        <w:t>fiscais</w:t>
      </w:r>
      <w:r>
        <w:rPr>
          <w:spacing w:val="-10"/>
        </w:rPr>
        <w:t> </w:t>
      </w:r>
      <w:r>
        <w:rPr/>
        <w:t>diferidos</w:t>
      </w:r>
      <w:r>
        <w:rPr>
          <w:spacing w:val="-11"/>
        </w:rPr>
        <w:t> </w:t>
      </w:r>
      <w:r>
        <w:rPr/>
        <w:t>e</w:t>
      </w:r>
      <w:r>
        <w:rPr>
          <w:spacing w:val="-10"/>
        </w:rPr>
        <w:t> </w:t>
      </w:r>
      <w:r>
        <w:rPr/>
        <w:t>os</w:t>
      </w:r>
      <w:r>
        <w:rPr>
          <w:spacing w:val="-10"/>
        </w:rPr>
        <w:t> </w:t>
      </w:r>
      <w:r>
        <w:rPr/>
        <w:t>passivos</w:t>
      </w:r>
      <w:r>
        <w:rPr>
          <w:spacing w:val="-9"/>
        </w:rPr>
        <w:t> </w:t>
      </w:r>
      <w:r>
        <w:rPr/>
        <w:t>fiscais</w:t>
      </w:r>
      <w:r>
        <w:rPr>
          <w:spacing w:val="-8"/>
        </w:rPr>
        <w:t> </w:t>
      </w:r>
      <w:r>
        <w:rPr/>
        <w:t>diferidos</w:t>
      </w:r>
      <w:r>
        <w:rPr>
          <w:spacing w:val="-10"/>
        </w:rPr>
        <w:t> </w:t>
      </w:r>
      <w:r>
        <w:rPr/>
        <w:t>estão</w:t>
      </w:r>
      <w:r>
        <w:rPr>
          <w:spacing w:val="-9"/>
        </w:rPr>
        <w:t> </w:t>
      </w:r>
      <w:r>
        <w:rPr/>
        <w:t>relacionados</w:t>
      </w:r>
      <w:r>
        <w:rPr>
          <w:spacing w:val="-10"/>
        </w:rPr>
        <w:t> </w:t>
      </w:r>
      <w:r>
        <w:rPr/>
        <w:t>com</w:t>
      </w:r>
      <w:r>
        <w:rPr>
          <w:spacing w:val="-9"/>
        </w:rPr>
        <w:t> </w:t>
      </w:r>
      <w:r>
        <w:rPr/>
        <w:t>tributos sobre o lucro lançados pela mesma autoridade tributária ou realizar os ativos e liquidar os passivos simultaneamente,</w:t>
      </w:r>
      <w:r>
        <w:rPr>
          <w:spacing w:val="-8"/>
        </w:rPr>
        <w:t> </w:t>
      </w:r>
      <w:r>
        <w:rPr/>
        <w:t>em</w:t>
      </w:r>
      <w:r>
        <w:rPr>
          <w:spacing w:val="-7"/>
        </w:rPr>
        <w:t> </w:t>
      </w:r>
      <w:r>
        <w:rPr/>
        <w:t>cada</w:t>
      </w:r>
      <w:r>
        <w:rPr>
          <w:spacing w:val="-11"/>
        </w:rPr>
        <w:t> </w:t>
      </w:r>
      <w:r>
        <w:rPr/>
        <w:t>período</w:t>
      </w:r>
      <w:r>
        <w:rPr>
          <w:spacing w:val="-7"/>
        </w:rPr>
        <w:t> </w:t>
      </w:r>
      <w:r>
        <w:rPr/>
        <w:t>futuro</w:t>
      </w:r>
      <w:r>
        <w:rPr>
          <w:spacing w:val="-7"/>
        </w:rPr>
        <w:t> </w:t>
      </w:r>
      <w:r>
        <w:rPr/>
        <w:t>no</w:t>
      </w:r>
      <w:r>
        <w:rPr>
          <w:spacing w:val="-6"/>
        </w:rPr>
        <w:t> </w:t>
      </w:r>
      <w:r>
        <w:rPr/>
        <w:t>qual</w:t>
      </w:r>
      <w:r>
        <w:rPr>
          <w:spacing w:val="-9"/>
        </w:rPr>
        <w:t> </w:t>
      </w:r>
      <w:r>
        <w:rPr/>
        <w:t>se</w:t>
      </w:r>
      <w:r>
        <w:rPr>
          <w:spacing w:val="-9"/>
        </w:rPr>
        <w:t> </w:t>
      </w:r>
      <w:r>
        <w:rPr/>
        <w:t>espera</w:t>
      </w:r>
      <w:r>
        <w:rPr>
          <w:spacing w:val="-9"/>
        </w:rPr>
        <w:t> </w:t>
      </w:r>
      <w:r>
        <w:rPr/>
        <w:t>que</w:t>
      </w:r>
      <w:r>
        <w:rPr>
          <w:spacing w:val="-7"/>
        </w:rPr>
        <w:t> </w:t>
      </w:r>
      <w:r>
        <w:rPr/>
        <w:t>valores</w:t>
      </w:r>
      <w:r>
        <w:rPr>
          <w:spacing w:val="-8"/>
        </w:rPr>
        <w:t> </w:t>
      </w:r>
      <w:r>
        <w:rPr/>
        <w:t>significativos</w:t>
      </w:r>
      <w:r>
        <w:rPr>
          <w:spacing w:val="-9"/>
        </w:rPr>
        <w:t> </w:t>
      </w:r>
      <w:r>
        <w:rPr/>
        <w:t>dos</w:t>
      </w:r>
      <w:r>
        <w:rPr>
          <w:spacing w:val="-7"/>
        </w:rPr>
        <w:t> </w:t>
      </w:r>
      <w:r>
        <w:rPr/>
        <w:t>ativos</w:t>
      </w:r>
      <w:r>
        <w:rPr>
          <w:spacing w:val="-9"/>
        </w:rPr>
        <w:t> </w:t>
      </w:r>
      <w:r>
        <w:rPr/>
        <w:t>ou</w:t>
      </w:r>
      <w:r>
        <w:rPr>
          <w:spacing w:val="-9"/>
        </w:rPr>
        <w:t> </w:t>
      </w:r>
      <w:r>
        <w:rPr/>
        <w:t>passivos</w:t>
      </w:r>
      <w:r>
        <w:rPr>
          <w:spacing w:val="-10"/>
        </w:rPr>
        <w:t> </w:t>
      </w:r>
      <w:r>
        <w:rPr/>
        <w:t>fiscais diferidos sejam liquidados ou recuperados.</w:t>
      </w:r>
    </w:p>
    <w:p>
      <w:pPr>
        <w:pStyle w:val="Heading3"/>
        <w:numPr>
          <w:ilvl w:val="0"/>
          <w:numId w:val="9"/>
        </w:numPr>
        <w:tabs>
          <w:tab w:pos="718" w:val="left" w:leader="none"/>
        </w:tabs>
        <w:spacing w:line="240" w:lineRule="auto" w:before="241" w:after="0"/>
        <w:ind w:left="718" w:right="0" w:hanging="568"/>
        <w:jc w:val="left"/>
      </w:pPr>
      <w:bookmarkStart w:name="_TOC_250006" w:id="19"/>
      <w:r>
        <w:rPr/>
        <w:t>Benefícios</w:t>
      </w:r>
      <w:r>
        <w:rPr>
          <w:spacing w:val="-8"/>
        </w:rPr>
        <w:t> </w:t>
      </w:r>
      <w:r>
        <w:rPr/>
        <w:t>concedidos</w:t>
      </w:r>
      <w:r>
        <w:rPr>
          <w:spacing w:val="-7"/>
        </w:rPr>
        <w:t> </w:t>
      </w:r>
      <w:r>
        <w:rPr/>
        <w:t>a</w:t>
      </w:r>
      <w:r>
        <w:rPr>
          <w:spacing w:val="-7"/>
        </w:rPr>
        <w:t> </w:t>
      </w:r>
      <w:bookmarkEnd w:id="19"/>
      <w:r>
        <w:rPr>
          <w:spacing w:val="-2"/>
        </w:rPr>
        <w:t>empregados</w:t>
      </w:r>
    </w:p>
    <w:p>
      <w:pPr>
        <w:pStyle w:val="Heading5"/>
        <w:numPr>
          <w:ilvl w:val="1"/>
          <w:numId w:val="9"/>
        </w:numPr>
        <w:tabs>
          <w:tab w:pos="859" w:val="left" w:leader="none"/>
        </w:tabs>
        <w:spacing w:line="240" w:lineRule="auto" w:before="239" w:after="0"/>
        <w:ind w:left="859" w:right="0" w:hanging="709"/>
        <w:jc w:val="left"/>
      </w:pPr>
      <w:r>
        <w:rPr/>
        <w:t>Plano</w:t>
      </w:r>
      <w:r>
        <w:rPr>
          <w:spacing w:val="-9"/>
        </w:rPr>
        <w:t> </w:t>
      </w:r>
      <w:r>
        <w:rPr/>
        <w:t>Petros</w:t>
      </w:r>
      <w:r>
        <w:rPr>
          <w:spacing w:val="-11"/>
        </w:rPr>
        <w:t> </w:t>
      </w:r>
      <w:r>
        <w:rPr>
          <w:spacing w:val="-10"/>
        </w:rPr>
        <w:t>2</w:t>
      </w:r>
    </w:p>
    <w:p>
      <w:pPr>
        <w:pStyle w:val="BodyText"/>
        <w:spacing w:before="230"/>
        <w:ind w:left="151" w:right="353"/>
        <w:jc w:val="both"/>
      </w:pPr>
      <w:r>
        <w:rPr/>
        <w:t>A gestão dos planos de previdência complementar da Companhia era, até o seu encerramento, responsabilidade da Fundação Petrobras de Seguridade Social (Petros) que foi constituída pela Petrobras como uma pessoa jurídica de direito privado, sem fins lucrativos, com autonomia administrativa e financeira.</w:t>
      </w:r>
    </w:p>
    <w:p>
      <w:pPr>
        <w:pStyle w:val="ListParagraph"/>
        <w:numPr>
          <w:ilvl w:val="1"/>
          <w:numId w:val="9"/>
        </w:numPr>
        <w:tabs>
          <w:tab w:pos="713" w:val="left" w:leader="none"/>
        </w:tabs>
        <w:spacing w:line="240" w:lineRule="auto" w:before="239" w:after="0"/>
        <w:ind w:left="713" w:right="0" w:hanging="563"/>
        <w:jc w:val="left"/>
        <w:rPr>
          <w:b/>
          <w:sz w:val="24"/>
        </w:rPr>
      </w:pPr>
      <w:r>
        <w:rPr>
          <w:b/>
          <w:sz w:val="24"/>
        </w:rPr>
        <w:t>Plano</w:t>
      </w:r>
      <w:r>
        <w:rPr>
          <w:b/>
          <w:spacing w:val="-3"/>
          <w:sz w:val="24"/>
        </w:rPr>
        <w:t> </w:t>
      </w:r>
      <w:r>
        <w:rPr>
          <w:b/>
          <w:sz w:val="24"/>
        </w:rPr>
        <w:t>Petros</w:t>
      </w:r>
      <w:r>
        <w:rPr>
          <w:b/>
          <w:spacing w:val="-3"/>
          <w:sz w:val="24"/>
        </w:rPr>
        <w:t> </w:t>
      </w:r>
      <w:r>
        <w:rPr>
          <w:b/>
          <w:spacing w:val="-2"/>
          <w:sz w:val="24"/>
        </w:rPr>
        <w:t>Ultrafértil</w:t>
      </w:r>
    </w:p>
    <w:p>
      <w:pPr>
        <w:pStyle w:val="BodyText"/>
        <w:spacing w:before="240"/>
        <w:ind w:left="151" w:right="358"/>
        <w:jc w:val="both"/>
      </w:pPr>
      <w:r>
        <w:rPr/>
        <w:t>Enquanto vigente, tratava‐se de um plano de previdência complementar de benefício definido, instituído pela Petrobras</w:t>
      </w:r>
      <w:r>
        <w:rPr>
          <w:spacing w:val="-12"/>
        </w:rPr>
        <w:t> </w:t>
      </w:r>
      <w:r>
        <w:rPr/>
        <w:t>em</w:t>
      </w:r>
      <w:r>
        <w:rPr>
          <w:spacing w:val="-8"/>
        </w:rPr>
        <w:t> </w:t>
      </w:r>
      <w:r>
        <w:rPr/>
        <w:t>julho</w:t>
      </w:r>
      <w:r>
        <w:rPr>
          <w:spacing w:val="-8"/>
        </w:rPr>
        <w:t> </w:t>
      </w:r>
      <w:r>
        <w:rPr/>
        <w:t>de</w:t>
      </w:r>
      <w:r>
        <w:rPr>
          <w:spacing w:val="-12"/>
        </w:rPr>
        <w:t> </w:t>
      </w:r>
      <w:r>
        <w:rPr/>
        <w:t>1970,</w:t>
      </w:r>
      <w:r>
        <w:rPr>
          <w:spacing w:val="-10"/>
        </w:rPr>
        <w:t> </w:t>
      </w:r>
      <w:r>
        <w:rPr/>
        <w:t>que</w:t>
      </w:r>
      <w:r>
        <w:rPr>
          <w:spacing w:val="-9"/>
        </w:rPr>
        <w:t> </w:t>
      </w:r>
      <w:r>
        <w:rPr/>
        <w:t>assegura</w:t>
      </w:r>
      <w:r>
        <w:rPr>
          <w:spacing w:val="-10"/>
        </w:rPr>
        <w:t> </w:t>
      </w:r>
      <w:r>
        <w:rPr/>
        <w:t>aos</w:t>
      </w:r>
      <w:r>
        <w:rPr>
          <w:spacing w:val="-11"/>
        </w:rPr>
        <w:t> </w:t>
      </w:r>
      <w:r>
        <w:rPr/>
        <w:t>participantes</w:t>
      </w:r>
      <w:r>
        <w:rPr>
          <w:spacing w:val="-8"/>
        </w:rPr>
        <w:t> </w:t>
      </w:r>
      <w:r>
        <w:rPr/>
        <w:t>uma</w:t>
      </w:r>
      <w:r>
        <w:rPr>
          <w:spacing w:val="-11"/>
        </w:rPr>
        <w:t> </w:t>
      </w:r>
      <w:r>
        <w:rPr/>
        <w:t>complementação</w:t>
      </w:r>
      <w:r>
        <w:rPr>
          <w:spacing w:val="-10"/>
        </w:rPr>
        <w:t> </w:t>
      </w:r>
      <w:r>
        <w:rPr/>
        <w:t>do</w:t>
      </w:r>
      <w:r>
        <w:rPr>
          <w:spacing w:val="-10"/>
        </w:rPr>
        <w:t> </w:t>
      </w:r>
      <w:r>
        <w:rPr/>
        <w:t>benefício</w:t>
      </w:r>
      <w:r>
        <w:rPr>
          <w:spacing w:val="-7"/>
        </w:rPr>
        <w:t> </w:t>
      </w:r>
      <w:r>
        <w:rPr/>
        <w:t>definido</w:t>
      </w:r>
      <w:r>
        <w:rPr>
          <w:spacing w:val="-9"/>
        </w:rPr>
        <w:t> </w:t>
      </w:r>
      <w:r>
        <w:rPr/>
        <w:t>concedido pela Previdência Social.</w:t>
      </w:r>
    </w:p>
    <w:p>
      <w:pPr>
        <w:pStyle w:val="ListParagraph"/>
        <w:numPr>
          <w:ilvl w:val="1"/>
          <w:numId w:val="9"/>
        </w:numPr>
        <w:tabs>
          <w:tab w:pos="859" w:val="left" w:leader="none"/>
        </w:tabs>
        <w:spacing w:line="240" w:lineRule="auto" w:before="240" w:after="0"/>
        <w:ind w:left="859" w:right="0" w:hanging="709"/>
        <w:jc w:val="left"/>
        <w:rPr>
          <w:b/>
          <w:sz w:val="24"/>
        </w:rPr>
      </w:pPr>
      <w:r>
        <w:rPr>
          <w:b/>
          <w:sz w:val="24"/>
        </w:rPr>
        <w:t>Outros</w:t>
      </w:r>
      <w:r>
        <w:rPr>
          <w:b/>
          <w:spacing w:val="-3"/>
          <w:sz w:val="24"/>
        </w:rPr>
        <w:t> </w:t>
      </w:r>
      <w:r>
        <w:rPr>
          <w:b/>
          <w:spacing w:val="-2"/>
          <w:sz w:val="24"/>
        </w:rPr>
        <w:t>planos</w:t>
      </w:r>
    </w:p>
    <w:p>
      <w:pPr>
        <w:pStyle w:val="BodyText"/>
        <w:spacing w:before="240"/>
        <w:ind w:left="151" w:right="355"/>
        <w:jc w:val="both"/>
      </w:pPr>
      <w:r>
        <w:rPr/>
        <w:t>A Companhia, também, patrocinava um plano de assistência médica, cujo benefício concedido era a extensão da assistência médica, no desligamento da Companhia ou por aposentadoria, para os empregados que efetuavam contribuição fixa para o plano, conforme previsto nos artigos 30 e 31 da Lei nº 9.656/98. O plano assistencial era contratado junto à operadora Central Nacional Unimed.</w:t>
      </w:r>
    </w:p>
    <w:p>
      <w:pPr>
        <w:pStyle w:val="ListParagraph"/>
        <w:numPr>
          <w:ilvl w:val="1"/>
          <w:numId w:val="9"/>
        </w:numPr>
        <w:tabs>
          <w:tab w:pos="207" w:val="left" w:leader="none"/>
          <w:tab w:pos="713" w:val="left" w:leader="none"/>
        </w:tabs>
        <w:spacing w:line="436" w:lineRule="auto" w:before="241" w:after="0"/>
        <w:ind w:left="207" w:right="3492" w:hanging="57"/>
        <w:jc w:val="both"/>
        <w:rPr>
          <w:b/>
          <w:sz w:val="24"/>
        </w:rPr>
      </w:pPr>
      <w:r>
        <w:rPr>
          <w:b/>
          <w:sz w:val="24"/>
        </w:rPr>
        <w:t>Retirada</w:t>
      </w:r>
      <w:r>
        <w:rPr>
          <w:b/>
          <w:spacing w:val="-3"/>
          <w:sz w:val="24"/>
        </w:rPr>
        <w:t> </w:t>
      </w:r>
      <w:r>
        <w:rPr>
          <w:b/>
          <w:sz w:val="24"/>
        </w:rPr>
        <w:t>de</w:t>
      </w:r>
      <w:r>
        <w:rPr>
          <w:b/>
          <w:spacing w:val="-3"/>
          <w:sz w:val="24"/>
        </w:rPr>
        <w:t> </w:t>
      </w:r>
      <w:r>
        <w:rPr>
          <w:b/>
          <w:sz w:val="24"/>
        </w:rPr>
        <w:t>patrocínio</w:t>
      </w:r>
      <w:r>
        <w:rPr>
          <w:b/>
          <w:spacing w:val="-3"/>
          <w:sz w:val="24"/>
        </w:rPr>
        <w:t> </w:t>
      </w:r>
      <w:r>
        <w:rPr>
          <w:b/>
          <w:sz w:val="24"/>
        </w:rPr>
        <w:t>e</w:t>
      </w:r>
      <w:r>
        <w:rPr>
          <w:b/>
          <w:spacing w:val="-3"/>
          <w:sz w:val="24"/>
        </w:rPr>
        <w:t> </w:t>
      </w:r>
      <w:r>
        <w:rPr>
          <w:b/>
          <w:sz w:val="24"/>
        </w:rPr>
        <w:t>liquidação</w:t>
      </w:r>
      <w:r>
        <w:rPr>
          <w:b/>
          <w:spacing w:val="-3"/>
          <w:sz w:val="24"/>
        </w:rPr>
        <w:t> </w:t>
      </w:r>
      <w:r>
        <w:rPr>
          <w:b/>
          <w:sz w:val="24"/>
        </w:rPr>
        <w:t>dos</w:t>
      </w:r>
      <w:r>
        <w:rPr>
          <w:b/>
          <w:spacing w:val="-3"/>
          <w:sz w:val="24"/>
        </w:rPr>
        <w:t> </w:t>
      </w:r>
      <w:r>
        <w:rPr>
          <w:b/>
          <w:sz w:val="24"/>
        </w:rPr>
        <w:t>planos</w:t>
      </w:r>
      <w:r>
        <w:rPr>
          <w:b/>
          <w:spacing w:val="-3"/>
          <w:sz w:val="24"/>
        </w:rPr>
        <w:t> </w:t>
      </w:r>
      <w:r>
        <w:rPr>
          <w:b/>
          <w:sz w:val="24"/>
        </w:rPr>
        <w:t>de</w:t>
      </w:r>
      <w:r>
        <w:rPr>
          <w:b/>
          <w:spacing w:val="-3"/>
          <w:sz w:val="24"/>
        </w:rPr>
        <w:t> </w:t>
      </w:r>
      <w:r>
        <w:rPr>
          <w:b/>
          <w:sz w:val="24"/>
        </w:rPr>
        <w:t>pensão</w:t>
      </w:r>
      <w:r>
        <w:rPr>
          <w:b/>
          <w:spacing w:val="-3"/>
          <w:sz w:val="24"/>
        </w:rPr>
        <w:t> </w:t>
      </w:r>
      <w:r>
        <w:rPr>
          <w:b/>
          <w:sz w:val="24"/>
        </w:rPr>
        <w:t>e</w:t>
      </w:r>
      <w:r>
        <w:rPr>
          <w:b/>
          <w:spacing w:val="-3"/>
          <w:sz w:val="24"/>
        </w:rPr>
        <w:t> </w:t>
      </w:r>
      <w:r>
        <w:rPr>
          <w:b/>
          <w:sz w:val="24"/>
        </w:rPr>
        <w:t>saúde Planos de pensão</w:t>
      </w:r>
    </w:p>
    <w:p>
      <w:pPr>
        <w:pStyle w:val="BodyText"/>
        <w:ind w:left="151" w:right="355"/>
        <w:jc w:val="both"/>
      </w:pPr>
      <w:r>
        <w:rPr/>
        <w:t>O processo de retirada de patrocínios dos planos Petros 2 e Petros Ultrafértil passou por todas as instâncias de aprovação, tendo sua publicação pela PREVIC (Superintendência Nacional de Previdência Complementar), autarquia</w:t>
      </w:r>
      <w:r>
        <w:rPr>
          <w:spacing w:val="-4"/>
        </w:rPr>
        <w:t> </w:t>
      </w:r>
      <w:r>
        <w:rPr/>
        <w:t>responsável</w:t>
      </w:r>
      <w:r>
        <w:rPr>
          <w:spacing w:val="-3"/>
        </w:rPr>
        <w:t> </w:t>
      </w:r>
      <w:r>
        <w:rPr/>
        <w:t>pela</w:t>
      </w:r>
      <w:r>
        <w:rPr>
          <w:spacing w:val="-6"/>
        </w:rPr>
        <w:t> </w:t>
      </w:r>
      <w:r>
        <w:rPr/>
        <w:t>aprovação</w:t>
      </w:r>
      <w:r>
        <w:rPr>
          <w:spacing w:val="-2"/>
        </w:rPr>
        <w:t> </w:t>
      </w:r>
      <w:r>
        <w:rPr/>
        <w:t>das</w:t>
      </w:r>
      <w:r>
        <w:rPr>
          <w:spacing w:val="-4"/>
        </w:rPr>
        <w:t> </w:t>
      </w:r>
      <w:r>
        <w:rPr/>
        <w:t>retiradas</w:t>
      </w:r>
      <w:r>
        <w:rPr>
          <w:spacing w:val="-2"/>
        </w:rPr>
        <w:t> </w:t>
      </w:r>
      <w:r>
        <w:rPr/>
        <w:t>de</w:t>
      </w:r>
      <w:r>
        <w:rPr>
          <w:spacing w:val="-6"/>
        </w:rPr>
        <w:t> </w:t>
      </w:r>
      <w:r>
        <w:rPr/>
        <w:t>patrocínio dos</w:t>
      </w:r>
      <w:r>
        <w:rPr>
          <w:spacing w:val="-4"/>
        </w:rPr>
        <w:t> </w:t>
      </w:r>
      <w:r>
        <w:rPr/>
        <w:t>planos</w:t>
      </w:r>
      <w:r>
        <w:rPr>
          <w:spacing w:val="-3"/>
        </w:rPr>
        <w:t> </w:t>
      </w:r>
      <w:r>
        <w:rPr/>
        <w:t>de</w:t>
      </w:r>
      <w:r>
        <w:rPr>
          <w:spacing w:val="-3"/>
        </w:rPr>
        <w:t> </w:t>
      </w:r>
      <w:r>
        <w:rPr/>
        <w:t>previdência,</w:t>
      </w:r>
      <w:r>
        <w:rPr>
          <w:spacing w:val="-5"/>
        </w:rPr>
        <w:t> </w:t>
      </w:r>
      <w:r>
        <w:rPr/>
        <w:t>conforme</w:t>
      </w:r>
      <w:r>
        <w:rPr>
          <w:spacing w:val="-6"/>
        </w:rPr>
        <w:t> </w:t>
      </w:r>
      <w:r>
        <w:rPr/>
        <w:t>Portaria</w:t>
      </w:r>
      <w:r>
        <w:rPr>
          <w:spacing w:val="-4"/>
        </w:rPr>
        <w:t> </w:t>
      </w:r>
      <w:r>
        <w:rPr/>
        <w:t>de 21 de dezembro de 2021 e no Diário Oficial da União em 30 de dezembro de 2021 para ambos os</w:t>
      </w:r>
      <w:r>
        <w:rPr>
          <w:spacing w:val="-16"/>
        </w:rPr>
        <w:t> </w:t>
      </w:r>
      <w:r>
        <w:rPr/>
        <w:t>planos.</w:t>
      </w:r>
    </w:p>
    <w:p>
      <w:pPr>
        <w:pStyle w:val="BodyText"/>
        <w:spacing w:before="237"/>
        <w:ind w:left="151" w:right="356"/>
        <w:jc w:val="both"/>
      </w:pPr>
      <w:r>
        <w:rPr/>
        <w:t>Com</w:t>
      </w:r>
      <w:r>
        <w:rPr>
          <w:spacing w:val="-2"/>
        </w:rPr>
        <w:t> </w:t>
      </w:r>
      <w:r>
        <w:rPr/>
        <w:t>a</w:t>
      </w:r>
      <w:r>
        <w:rPr>
          <w:spacing w:val="-1"/>
        </w:rPr>
        <w:t> </w:t>
      </w:r>
      <w:r>
        <w:rPr/>
        <w:t>aprovação</w:t>
      </w:r>
      <w:r>
        <w:rPr>
          <w:spacing w:val="-1"/>
        </w:rPr>
        <w:t> </w:t>
      </w:r>
      <w:r>
        <w:rPr/>
        <w:t>definitiva</w:t>
      </w:r>
      <w:r>
        <w:rPr>
          <w:spacing w:val="-2"/>
        </w:rPr>
        <w:t> </w:t>
      </w:r>
      <w:r>
        <w:rPr/>
        <w:t>da</w:t>
      </w:r>
      <w:r>
        <w:rPr>
          <w:spacing w:val="-1"/>
        </w:rPr>
        <w:t> </w:t>
      </w:r>
      <w:r>
        <w:rPr/>
        <w:t>retirada dos</w:t>
      </w:r>
      <w:r>
        <w:rPr>
          <w:spacing w:val="-1"/>
        </w:rPr>
        <w:t> </w:t>
      </w:r>
      <w:r>
        <w:rPr/>
        <w:t>referidos</w:t>
      </w:r>
      <w:r>
        <w:rPr>
          <w:spacing w:val="-1"/>
        </w:rPr>
        <w:t> </w:t>
      </w:r>
      <w:r>
        <w:rPr/>
        <w:t>planos,</w:t>
      </w:r>
      <w:r>
        <w:rPr>
          <w:spacing w:val="-2"/>
        </w:rPr>
        <w:t> </w:t>
      </w:r>
      <w:r>
        <w:rPr/>
        <w:t>foram</w:t>
      </w:r>
      <w:r>
        <w:rPr>
          <w:spacing w:val="-2"/>
        </w:rPr>
        <w:t> </w:t>
      </w:r>
      <w:r>
        <w:rPr/>
        <w:t>apurados</w:t>
      </w:r>
      <w:r>
        <w:rPr>
          <w:spacing w:val="-2"/>
        </w:rPr>
        <w:t> </w:t>
      </w:r>
      <w:r>
        <w:rPr/>
        <w:t>ganho</w:t>
      </w:r>
      <w:r>
        <w:rPr>
          <w:spacing w:val="-1"/>
        </w:rPr>
        <w:t> </w:t>
      </w:r>
      <w:r>
        <w:rPr/>
        <w:t>com</w:t>
      </w:r>
      <w:r>
        <w:rPr>
          <w:spacing w:val="-2"/>
        </w:rPr>
        <w:t> </w:t>
      </w:r>
      <w:r>
        <w:rPr/>
        <w:t>o</w:t>
      </w:r>
      <w:r>
        <w:rPr>
          <w:spacing w:val="-1"/>
        </w:rPr>
        <w:t> </w:t>
      </w:r>
      <w:r>
        <w:rPr/>
        <w:t>encerramento do</w:t>
      </w:r>
      <w:r>
        <w:rPr>
          <w:spacing w:val="-1"/>
        </w:rPr>
        <w:t> </w:t>
      </w:r>
      <w:r>
        <w:rPr/>
        <w:t>saldo do passivo atuarial nos planos de pensão (R$ 61.377 e um reconhecimento de perda em outros resultados abrangentes</w:t>
      </w:r>
      <w:r>
        <w:rPr>
          <w:spacing w:val="-13"/>
        </w:rPr>
        <w:t> </w:t>
      </w:r>
      <w:r>
        <w:rPr/>
        <w:t>no</w:t>
      </w:r>
      <w:r>
        <w:rPr>
          <w:spacing w:val="-11"/>
        </w:rPr>
        <w:t> </w:t>
      </w:r>
      <w:r>
        <w:rPr/>
        <w:t>patrimônio</w:t>
      </w:r>
      <w:r>
        <w:rPr>
          <w:spacing w:val="-11"/>
        </w:rPr>
        <w:t> </w:t>
      </w:r>
      <w:r>
        <w:rPr/>
        <w:t>líquido,</w:t>
      </w:r>
      <w:r>
        <w:rPr>
          <w:spacing w:val="-10"/>
        </w:rPr>
        <w:t> </w:t>
      </w:r>
      <w:r>
        <w:rPr/>
        <w:t>no</w:t>
      </w:r>
      <w:r>
        <w:rPr>
          <w:spacing w:val="-11"/>
        </w:rPr>
        <w:t> </w:t>
      </w:r>
      <w:r>
        <w:rPr/>
        <w:t>montante</w:t>
      </w:r>
      <w:r>
        <w:rPr>
          <w:spacing w:val="-13"/>
        </w:rPr>
        <w:t> </w:t>
      </w:r>
      <w:r>
        <w:rPr/>
        <w:t>de</w:t>
      </w:r>
      <w:r>
        <w:rPr>
          <w:spacing w:val="-9"/>
        </w:rPr>
        <w:t> </w:t>
      </w:r>
      <w:r>
        <w:rPr/>
        <w:t>R$</w:t>
      </w:r>
      <w:r>
        <w:rPr>
          <w:spacing w:val="-12"/>
        </w:rPr>
        <w:t> </w:t>
      </w:r>
      <w:r>
        <w:rPr/>
        <w:t>30.460)</w:t>
      </w:r>
      <w:r>
        <w:rPr>
          <w:spacing w:val="-11"/>
        </w:rPr>
        <w:t> </w:t>
      </w:r>
      <w:r>
        <w:rPr/>
        <w:t>e</w:t>
      </w:r>
      <w:r>
        <w:rPr>
          <w:spacing w:val="-10"/>
        </w:rPr>
        <w:t> </w:t>
      </w:r>
      <w:r>
        <w:rPr/>
        <w:t>registrada</w:t>
      </w:r>
      <w:r>
        <w:rPr>
          <w:spacing w:val="-13"/>
        </w:rPr>
        <w:t> </w:t>
      </w:r>
      <w:r>
        <w:rPr/>
        <w:t>as</w:t>
      </w:r>
      <w:r>
        <w:rPr>
          <w:spacing w:val="-12"/>
        </w:rPr>
        <w:t> </w:t>
      </w:r>
      <w:r>
        <w:rPr/>
        <w:t>obrigações</w:t>
      </w:r>
      <w:r>
        <w:rPr>
          <w:spacing w:val="-12"/>
        </w:rPr>
        <w:t> </w:t>
      </w:r>
      <w:r>
        <w:rPr/>
        <w:t>com</w:t>
      </w:r>
      <w:r>
        <w:rPr>
          <w:spacing w:val="-10"/>
        </w:rPr>
        <w:t> </w:t>
      </w:r>
      <w:r>
        <w:rPr/>
        <w:t>liquidação</w:t>
      </w:r>
      <w:r>
        <w:rPr>
          <w:spacing w:val="-7"/>
        </w:rPr>
        <w:t> </w:t>
      </w:r>
      <w:r>
        <w:rPr/>
        <w:t>de</w:t>
      </w:r>
      <w:r>
        <w:rPr>
          <w:spacing w:val="-10"/>
        </w:rPr>
        <w:t> </w:t>
      </w:r>
      <w:r>
        <w:rPr/>
        <w:t>planos de pensão com a</w:t>
      </w:r>
      <w:r>
        <w:rPr>
          <w:spacing w:val="-3"/>
        </w:rPr>
        <w:t> </w:t>
      </w:r>
      <w:r>
        <w:rPr/>
        <w:t>Petros,</w:t>
      </w:r>
      <w:r>
        <w:rPr>
          <w:spacing w:val="-1"/>
        </w:rPr>
        <w:t> </w:t>
      </w:r>
      <w:r>
        <w:rPr/>
        <w:t>no valor</w:t>
      </w:r>
      <w:r>
        <w:rPr>
          <w:spacing w:val="-3"/>
        </w:rPr>
        <w:t> </w:t>
      </w:r>
      <w:r>
        <w:rPr/>
        <w:t>de</w:t>
      </w:r>
      <w:r>
        <w:rPr>
          <w:spacing w:val="-3"/>
        </w:rPr>
        <w:t> </w:t>
      </w:r>
      <w:r>
        <w:rPr/>
        <w:t>R$ 18.445,</w:t>
      </w:r>
      <w:r>
        <w:rPr>
          <w:spacing w:val="-4"/>
        </w:rPr>
        <w:t> </w:t>
      </w:r>
      <w:r>
        <w:rPr/>
        <w:t>em</w:t>
      </w:r>
      <w:r>
        <w:rPr>
          <w:spacing w:val="-2"/>
        </w:rPr>
        <w:t> </w:t>
      </w:r>
      <w:r>
        <w:rPr/>
        <w:t>31</w:t>
      </w:r>
      <w:r>
        <w:rPr>
          <w:spacing w:val="-1"/>
        </w:rPr>
        <w:t> </w:t>
      </w:r>
      <w:r>
        <w:rPr/>
        <w:t>de</w:t>
      </w:r>
      <w:r>
        <w:rPr>
          <w:spacing w:val="-3"/>
        </w:rPr>
        <w:t> </w:t>
      </w:r>
      <w:r>
        <w:rPr/>
        <w:t>dezembro</w:t>
      </w:r>
      <w:r>
        <w:rPr>
          <w:spacing w:val="-3"/>
        </w:rPr>
        <w:t> </w:t>
      </w:r>
      <w:r>
        <w:rPr/>
        <w:t>de</w:t>
      </w:r>
      <w:r>
        <w:rPr>
          <w:spacing w:val="-1"/>
        </w:rPr>
        <w:t> </w:t>
      </w:r>
      <w:r>
        <w:rPr/>
        <w:t>2021.</w:t>
      </w:r>
      <w:r>
        <w:rPr>
          <w:spacing w:val="-1"/>
        </w:rPr>
        <w:t> </w:t>
      </w:r>
      <w:r>
        <w:rPr/>
        <w:t>Em abril</w:t>
      </w:r>
      <w:r>
        <w:rPr>
          <w:spacing w:val="-3"/>
        </w:rPr>
        <w:t> </w:t>
      </w:r>
      <w:r>
        <w:rPr/>
        <w:t>de</w:t>
      </w:r>
      <w:r>
        <w:rPr>
          <w:spacing w:val="-2"/>
        </w:rPr>
        <w:t> </w:t>
      </w:r>
      <w:r>
        <w:rPr/>
        <w:t>2022,</w:t>
      </w:r>
      <w:r>
        <w:rPr>
          <w:spacing w:val="-3"/>
        </w:rPr>
        <w:t> </w:t>
      </w:r>
      <w:r>
        <w:rPr/>
        <w:t>as</w:t>
      </w:r>
      <w:r>
        <w:rPr>
          <w:spacing w:val="-3"/>
        </w:rPr>
        <w:t> </w:t>
      </w:r>
      <w:r>
        <w:rPr/>
        <w:t>obrigações</w:t>
      </w:r>
      <w:r>
        <w:rPr>
          <w:spacing w:val="-1"/>
        </w:rPr>
        <w:t> </w:t>
      </w:r>
      <w:r>
        <w:rPr/>
        <w:t>com liquidação de planos de pensão, após atualização do valor estimado da dívida em R$ 5.604, foram liquidadas pelo montante total de R$ 24.049.</w:t>
      </w:r>
    </w:p>
    <w:p>
      <w:pPr>
        <w:spacing w:after="0"/>
        <w:jc w:val="both"/>
        <w:sectPr>
          <w:pgSz w:w="11910" w:h="16840"/>
          <w:pgMar w:header="637" w:footer="630" w:top="1800" w:bottom="820" w:left="700" w:right="480"/>
        </w:sectPr>
      </w:pPr>
    </w:p>
    <w:p>
      <w:pPr>
        <w:spacing w:before="286"/>
        <w:ind w:left="152" w:right="0" w:firstLine="0"/>
        <w:jc w:val="both"/>
        <w:rPr>
          <w:b/>
          <w:sz w:val="24"/>
        </w:rPr>
      </w:pPr>
      <w:r>
        <w:rPr>
          <w:b/>
          <w:sz w:val="24"/>
        </w:rPr>
        <w:t>Plano</w:t>
      </w:r>
      <w:r>
        <w:rPr>
          <w:b/>
          <w:spacing w:val="-4"/>
          <w:sz w:val="24"/>
        </w:rPr>
        <w:t> </w:t>
      </w:r>
      <w:r>
        <w:rPr>
          <w:b/>
          <w:sz w:val="24"/>
        </w:rPr>
        <w:t>de</w:t>
      </w:r>
      <w:r>
        <w:rPr>
          <w:b/>
          <w:spacing w:val="-2"/>
          <w:sz w:val="24"/>
        </w:rPr>
        <w:t> saúde</w:t>
      </w:r>
    </w:p>
    <w:p>
      <w:pPr>
        <w:pStyle w:val="BodyText"/>
        <w:spacing w:before="241"/>
        <w:ind w:left="152" w:right="364" w:hanging="1"/>
        <w:jc w:val="both"/>
      </w:pPr>
      <w:r>
        <w:rPr/>
        <w:t>Com a revisão atuarial de 31 de dezembro de 2021, ocorreu a liquidação, substancial do passivo, tendo um reconhecimento positivo, no resultado, de R$ 50.010, bem como reconhecimento de ganho R$ 3.044, em outros resultados abrangentes.</w:t>
      </w:r>
    </w:p>
    <w:p>
      <w:pPr>
        <w:pStyle w:val="BodyText"/>
        <w:spacing w:before="238"/>
        <w:ind w:left="151" w:right="355"/>
        <w:jc w:val="both"/>
      </w:pPr>
      <w:r>
        <w:rPr/>
        <w:t>Em julho de 2022, ocorreu o encerramento do prazo das obrigações firmadas no Tribunal Superior do Trabalho (TST), dentre elas o término da prorrogação do contrato com plano de saúde Unimed e, com a quitação de todos os compromissos até então pactuados., a Companhia emitiu um comunicado aos empregados demitidos sobre a extinção do plano.</w:t>
      </w:r>
    </w:p>
    <w:p>
      <w:pPr>
        <w:pStyle w:val="BodyText"/>
        <w:spacing w:before="241"/>
        <w:ind w:left="152" w:right="361" w:hanging="1"/>
        <w:jc w:val="both"/>
      </w:pPr>
      <w:r>
        <w:rPr/>
        <w:t>Em razão da não continuidade do contrato do plano de saúde, a Companhia avaliou que o benefício foi extinto e realizou a baixa do saldo remanescente do passivo atuarial de R$ 1.354 no terceiro trimestre de 2022.</w:t>
      </w:r>
    </w:p>
    <w:p>
      <w:pPr>
        <w:pStyle w:val="BodyText"/>
        <w:spacing w:before="242"/>
        <w:ind w:left="152"/>
        <w:jc w:val="both"/>
      </w:pPr>
      <w:r>
        <w:rPr/>
        <w:t>Demonstrativo,</w:t>
      </w:r>
      <w:r>
        <w:rPr>
          <w:spacing w:val="-10"/>
        </w:rPr>
        <w:t> </w:t>
      </w:r>
      <w:r>
        <w:rPr/>
        <w:t>na</w:t>
      </w:r>
      <w:r>
        <w:rPr>
          <w:spacing w:val="-8"/>
        </w:rPr>
        <w:t> </w:t>
      </w:r>
      <w:r>
        <w:rPr/>
        <w:t>DRE,</w:t>
      </w:r>
      <w:r>
        <w:rPr>
          <w:spacing w:val="-8"/>
        </w:rPr>
        <w:t> </w:t>
      </w:r>
      <w:r>
        <w:rPr/>
        <w:t>do</w:t>
      </w:r>
      <w:r>
        <w:rPr>
          <w:spacing w:val="-7"/>
        </w:rPr>
        <w:t> </w:t>
      </w:r>
      <w:r>
        <w:rPr/>
        <w:t>efeito</w:t>
      </w:r>
      <w:r>
        <w:rPr>
          <w:spacing w:val="-7"/>
        </w:rPr>
        <w:t> </w:t>
      </w:r>
      <w:r>
        <w:rPr/>
        <w:t>da</w:t>
      </w:r>
      <w:r>
        <w:rPr>
          <w:spacing w:val="-8"/>
        </w:rPr>
        <w:t> </w:t>
      </w:r>
      <w:r>
        <w:rPr/>
        <w:t>liquidação</w:t>
      </w:r>
      <w:r>
        <w:rPr>
          <w:spacing w:val="-7"/>
        </w:rPr>
        <w:t> </w:t>
      </w:r>
      <w:r>
        <w:rPr/>
        <w:t>do</w:t>
      </w:r>
      <w:r>
        <w:rPr>
          <w:spacing w:val="-7"/>
        </w:rPr>
        <w:t> </w:t>
      </w:r>
      <w:r>
        <w:rPr/>
        <w:t>passivo</w:t>
      </w:r>
      <w:r>
        <w:rPr>
          <w:spacing w:val="-8"/>
        </w:rPr>
        <w:t> </w:t>
      </w:r>
      <w:r>
        <w:rPr>
          <w:spacing w:val="-2"/>
        </w:rPr>
        <w:t>atuarial:</w:t>
      </w:r>
    </w:p>
    <w:p>
      <w:pPr>
        <w:pStyle w:val="BodyText"/>
        <w:spacing w:before="53"/>
        <w:rPr>
          <w:sz w:val="20"/>
        </w:rPr>
      </w:pPr>
    </w:p>
    <w:tbl>
      <w:tblPr>
        <w:tblW w:w="0" w:type="auto"/>
        <w:jc w:val="left"/>
        <w:tblInd w:w="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16"/>
        <w:gridCol w:w="5284"/>
      </w:tblGrid>
      <w:tr>
        <w:trPr>
          <w:trHeight w:val="241" w:hRule="atLeast"/>
        </w:trPr>
        <w:tc>
          <w:tcPr>
            <w:tcW w:w="5016" w:type="dxa"/>
          </w:tcPr>
          <w:p>
            <w:pPr>
              <w:pStyle w:val="TableParagraph"/>
              <w:spacing w:line="209" w:lineRule="exact"/>
              <w:ind w:left="50"/>
              <w:rPr>
                <w:sz w:val="18"/>
              </w:rPr>
            </w:pPr>
            <w:r>
              <w:rPr>
                <w:sz w:val="18"/>
              </w:rPr>
              <w:t>Efeito</w:t>
            </w:r>
            <w:r>
              <w:rPr>
                <w:spacing w:val="-3"/>
                <w:sz w:val="18"/>
              </w:rPr>
              <w:t> </w:t>
            </w:r>
            <w:r>
              <w:rPr>
                <w:sz w:val="18"/>
              </w:rPr>
              <w:t>da</w:t>
            </w:r>
            <w:r>
              <w:rPr>
                <w:spacing w:val="-3"/>
                <w:sz w:val="18"/>
              </w:rPr>
              <w:t> </w:t>
            </w:r>
            <w:r>
              <w:rPr>
                <w:sz w:val="18"/>
              </w:rPr>
              <w:t>liquidação</w:t>
            </w:r>
            <w:r>
              <w:rPr>
                <w:spacing w:val="-3"/>
                <w:sz w:val="18"/>
              </w:rPr>
              <w:t> </w:t>
            </w:r>
            <w:r>
              <w:rPr>
                <w:sz w:val="18"/>
              </w:rPr>
              <w:t>do</w:t>
            </w:r>
            <w:r>
              <w:rPr>
                <w:spacing w:val="-3"/>
                <w:sz w:val="18"/>
              </w:rPr>
              <w:t> </w:t>
            </w:r>
            <w:r>
              <w:rPr>
                <w:sz w:val="18"/>
              </w:rPr>
              <w:t>passivo</w:t>
            </w:r>
            <w:r>
              <w:rPr>
                <w:spacing w:val="-2"/>
                <w:sz w:val="18"/>
              </w:rPr>
              <w:t> atuarial</w:t>
            </w:r>
          </w:p>
        </w:tc>
        <w:tc>
          <w:tcPr>
            <w:tcW w:w="5284" w:type="dxa"/>
          </w:tcPr>
          <w:p>
            <w:pPr>
              <w:pStyle w:val="TableParagraph"/>
              <w:tabs>
                <w:tab w:pos="1077" w:val="left" w:leader="none"/>
                <w:tab w:pos="2648" w:val="left" w:leader="none"/>
              </w:tabs>
              <w:spacing w:line="209" w:lineRule="exact"/>
              <w:ind w:right="46"/>
              <w:jc w:val="right"/>
              <w:rPr>
                <w:sz w:val="18"/>
              </w:rPr>
            </w:pPr>
            <w:r>
              <w:rPr>
                <w:rFonts w:ascii="Times New Roman"/>
                <w:sz w:val="18"/>
                <w:u w:val="thick"/>
              </w:rPr>
              <w:tab/>
            </w:r>
            <w:r>
              <w:rPr>
                <w:spacing w:val="-4"/>
                <w:sz w:val="18"/>
                <w:u w:val="thick"/>
              </w:rPr>
              <w:t>2022</w:t>
            </w:r>
            <w:r>
              <w:rPr>
                <w:sz w:val="18"/>
                <w:u w:val="thick"/>
              </w:rPr>
              <w:tab/>
            </w:r>
            <w:r>
              <w:rPr>
                <w:spacing w:val="-4"/>
                <w:sz w:val="18"/>
                <w:u w:val="thick"/>
              </w:rPr>
              <w:t>2021</w:t>
            </w:r>
            <w:r>
              <w:rPr>
                <w:spacing w:val="40"/>
                <w:sz w:val="18"/>
                <w:u w:val="thick"/>
              </w:rPr>
              <w:t> </w:t>
            </w:r>
          </w:p>
        </w:tc>
      </w:tr>
      <w:tr>
        <w:trPr>
          <w:trHeight w:val="333" w:hRule="atLeast"/>
        </w:trPr>
        <w:tc>
          <w:tcPr>
            <w:tcW w:w="5016" w:type="dxa"/>
          </w:tcPr>
          <w:p>
            <w:pPr>
              <w:pStyle w:val="TableParagraph"/>
              <w:spacing w:line="219" w:lineRule="exact"/>
              <w:ind w:left="50"/>
              <w:rPr>
                <w:sz w:val="18"/>
              </w:rPr>
            </w:pPr>
            <w:r>
              <w:rPr>
                <w:sz w:val="18"/>
              </w:rPr>
              <w:t>Liquidação</w:t>
            </w:r>
            <w:r>
              <w:rPr>
                <w:spacing w:val="-5"/>
                <w:sz w:val="18"/>
              </w:rPr>
              <w:t> </w:t>
            </w:r>
            <w:r>
              <w:rPr>
                <w:sz w:val="18"/>
              </w:rPr>
              <w:t>do</w:t>
            </w:r>
            <w:r>
              <w:rPr>
                <w:spacing w:val="-3"/>
                <w:sz w:val="18"/>
              </w:rPr>
              <w:t> </w:t>
            </w:r>
            <w:r>
              <w:rPr>
                <w:sz w:val="18"/>
              </w:rPr>
              <w:t>passivo</w:t>
            </w:r>
            <w:r>
              <w:rPr>
                <w:spacing w:val="-3"/>
                <w:sz w:val="18"/>
              </w:rPr>
              <w:t> </w:t>
            </w:r>
            <w:r>
              <w:rPr>
                <w:spacing w:val="-2"/>
                <w:sz w:val="18"/>
              </w:rPr>
              <w:t>atuarial</w:t>
            </w:r>
          </w:p>
        </w:tc>
        <w:tc>
          <w:tcPr>
            <w:tcW w:w="5284" w:type="dxa"/>
          </w:tcPr>
          <w:p>
            <w:pPr>
              <w:pStyle w:val="TableParagraph"/>
              <w:tabs>
                <w:tab w:pos="1311" w:val="left" w:leader="none"/>
              </w:tabs>
              <w:spacing w:line="219" w:lineRule="exact"/>
              <w:ind w:right="180"/>
              <w:jc w:val="right"/>
              <w:rPr>
                <w:sz w:val="18"/>
              </w:rPr>
            </w:pPr>
            <w:r>
              <w:rPr>
                <w:spacing w:val="-2"/>
                <w:sz w:val="18"/>
              </w:rPr>
              <w:t>1.354</w:t>
            </w:r>
            <w:r>
              <w:rPr>
                <w:sz w:val="18"/>
              </w:rPr>
              <w:tab/>
            </w:r>
            <w:r>
              <w:rPr>
                <w:spacing w:val="-2"/>
                <w:sz w:val="18"/>
              </w:rPr>
              <w:t>111.387</w:t>
            </w:r>
          </w:p>
        </w:tc>
      </w:tr>
      <w:tr>
        <w:trPr>
          <w:trHeight w:val="437" w:hRule="atLeast"/>
        </w:trPr>
        <w:tc>
          <w:tcPr>
            <w:tcW w:w="5016" w:type="dxa"/>
          </w:tcPr>
          <w:p>
            <w:pPr>
              <w:pStyle w:val="TableParagraph"/>
              <w:spacing w:before="106"/>
              <w:ind w:left="50"/>
              <w:rPr>
                <w:sz w:val="18"/>
              </w:rPr>
            </w:pPr>
            <w:r>
              <w:rPr>
                <w:sz w:val="18"/>
              </w:rPr>
              <w:t>Despesa</w:t>
            </w:r>
            <w:r>
              <w:rPr>
                <w:spacing w:val="-3"/>
                <w:sz w:val="18"/>
              </w:rPr>
              <w:t> </w:t>
            </w:r>
            <w:r>
              <w:rPr>
                <w:sz w:val="18"/>
              </w:rPr>
              <w:t>com</w:t>
            </w:r>
            <w:r>
              <w:rPr>
                <w:spacing w:val="-2"/>
                <w:sz w:val="18"/>
              </w:rPr>
              <w:t> </w:t>
            </w:r>
            <w:r>
              <w:rPr>
                <w:sz w:val="18"/>
              </w:rPr>
              <w:t>a</w:t>
            </w:r>
            <w:r>
              <w:rPr>
                <w:spacing w:val="-2"/>
                <w:sz w:val="18"/>
              </w:rPr>
              <w:t> </w:t>
            </w:r>
            <w:r>
              <w:rPr>
                <w:sz w:val="18"/>
              </w:rPr>
              <w:t>retirada</w:t>
            </w:r>
            <w:r>
              <w:rPr>
                <w:spacing w:val="-2"/>
                <w:sz w:val="18"/>
              </w:rPr>
              <w:t> </w:t>
            </w:r>
            <w:r>
              <w:rPr>
                <w:sz w:val="18"/>
              </w:rPr>
              <w:t>de</w:t>
            </w:r>
            <w:r>
              <w:rPr>
                <w:spacing w:val="-1"/>
                <w:sz w:val="18"/>
              </w:rPr>
              <w:t> </w:t>
            </w:r>
            <w:r>
              <w:rPr>
                <w:spacing w:val="-2"/>
                <w:sz w:val="18"/>
              </w:rPr>
              <w:t>patrocínio</w:t>
            </w:r>
          </w:p>
        </w:tc>
        <w:tc>
          <w:tcPr>
            <w:tcW w:w="5284" w:type="dxa"/>
          </w:tcPr>
          <w:p>
            <w:pPr>
              <w:pStyle w:val="TableParagraph"/>
              <w:tabs>
                <w:tab w:pos="927" w:val="left" w:leader="none"/>
                <w:tab w:pos="2404" w:val="left" w:leader="none"/>
              </w:tabs>
              <w:spacing w:before="106"/>
              <w:ind w:right="107"/>
              <w:jc w:val="right"/>
              <w:rPr>
                <w:sz w:val="18"/>
              </w:rPr>
            </w:pPr>
            <w:r>
              <w:rPr>
                <w:rFonts w:ascii="Times New Roman"/>
                <w:sz w:val="18"/>
                <w:u w:val="thick"/>
              </w:rPr>
              <w:tab/>
            </w:r>
            <w:r>
              <w:rPr>
                <w:spacing w:val="-2"/>
                <w:sz w:val="18"/>
                <w:u w:val="thick"/>
              </w:rPr>
              <w:t>(5.604)</w:t>
            </w:r>
            <w:r>
              <w:rPr>
                <w:sz w:val="18"/>
                <w:u w:val="thick"/>
              </w:rPr>
              <w:tab/>
            </w:r>
            <w:r>
              <w:rPr>
                <w:spacing w:val="-2"/>
                <w:sz w:val="18"/>
                <w:u w:val="thick"/>
              </w:rPr>
              <w:t>(18.445)</w:t>
            </w:r>
          </w:p>
        </w:tc>
      </w:tr>
      <w:tr>
        <w:trPr>
          <w:trHeight w:val="319" w:hRule="atLeast"/>
        </w:trPr>
        <w:tc>
          <w:tcPr>
            <w:tcW w:w="5016" w:type="dxa"/>
          </w:tcPr>
          <w:p>
            <w:pPr>
              <w:pStyle w:val="TableParagraph"/>
              <w:spacing w:line="196" w:lineRule="exact" w:before="103"/>
              <w:ind w:left="50"/>
              <w:rPr>
                <w:sz w:val="18"/>
              </w:rPr>
            </w:pPr>
            <w:r>
              <w:rPr>
                <w:sz w:val="18"/>
              </w:rPr>
              <w:t>Efeito</w:t>
            </w:r>
            <w:r>
              <w:rPr>
                <w:spacing w:val="-4"/>
                <w:sz w:val="18"/>
              </w:rPr>
              <w:t> </w:t>
            </w:r>
            <w:r>
              <w:rPr>
                <w:sz w:val="18"/>
              </w:rPr>
              <w:t>líquido</w:t>
            </w:r>
            <w:r>
              <w:rPr>
                <w:spacing w:val="-4"/>
                <w:sz w:val="18"/>
              </w:rPr>
              <w:t> </w:t>
            </w:r>
            <w:r>
              <w:rPr>
                <w:sz w:val="18"/>
              </w:rPr>
              <w:t>no</w:t>
            </w:r>
            <w:r>
              <w:rPr>
                <w:spacing w:val="-2"/>
                <w:sz w:val="18"/>
              </w:rPr>
              <w:t> resultado</w:t>
            </w:r>
          </w:p>
        </w:tc>
        <w:tc>
          <w:tcPr>
            <w:tcW w:w="5284" w:type="dxa"/>
          </w:tcPr>
          <w:p>
            <w:pPr>
              <w:pStyle w:val="TableParagraph"/>
              <w:tabs>
                <w:tab w:pos="969" w:val="left" w:leader="none"/>
                <w:tab w:pos="2557" w:val="left" w:leader="none"/>
              </w:tabs>
              <w:spacing w:line="196" w:lineRule="exact" w:before="103"/>
              <w:ind w:right="106"/>
              <w:jc w:val="right"/>
              <w:rPr>
                <w:sz w:val="18"/>
              </w:rPr>
            </w:pPr>
            <w:r>
              <w:rPr>
                <w:rFonts w:ascii="Times New Roman"/>
                <w:sz w:val="18"/>
                <w:u w:val="thick"/>
              </w:rPr>
              <w:tab/>
            </w:r>
            <w:r>
              <w:rPr>
                <w:spacing w:val="-2"/>
                <w:sz w:val="18"/>
                <w:u w:val="thick"/>
              </w:rPr>
              <w:t>(4.250)</w:t>
            </w:r>
            <w:r>
              <w:rPr>
                <w:sz w:val="18"/>
                <w:u w:val="thick"/>
              </w:rPr>
              <w:tab/>
            </w:r>
            <w:r>
              <w:rPr>
                <w:spacing w:val="-2"/>
                <w:sz w:val="18"/>
                <w:u w:val="thick"/>
              </w:rPr>
              <w:t>92.942</w:t>
            </w:r>
          </w:p>
        </w:tc>
      </w:tr>
    </w:tbl>
    <w:p>
      <w:pPr>
        <w:pStyle w:val="BodyText"/>
      </w:pPr>
    </w:p>
    <w:p>
      <w:pPr>
        <w:pStyle w:val="BodyText"/>
        <w:spacing w:before="9"/>
      </w:pPr>
    </w:p>
    <w:p>
      <w:pPr>
        <w:pStyle w:val="Heading5"/>
        <w:spacing w:before="1"/>
      </w:pPr>
      <w:r>
        <w:rPr/>
        <w:t>Prática</w:t>
      </w:r>
      <w:r>
        <w:rPr>
          <w:spacing w:val="-10"/>
        </w:rPr>
        <w:t> </w:t>
      </w:r>
      <w:r>
        <w:rPr>
          <w:spacing w:val="-2"/>
        </w:rPr>
        <w:t>contábil</w:t>
      </w:r>
    </w:p>
    <w:p>
      <w:pPr>
        <w:pStyle w:val="BodyText"/>
        <w:spacing w:before="240"/>
        <w:ind w:left="151" w:right="354"/>
        <w:jc w:val="both"/>
      </w:pPr>
      <w:r>
        <w:rPr/>
        <w:t>As obrigações com os planos de benefícios definidos de pensão e aposentadoria e os de assistência médica eram provisionados com base em cálculo atuarial elaborado anualmente por atuário independente, de acordo com o método da</w:t>
      </w:r>
      <w:r>
        <w:rPr>
          <w:spacing w:val="-5"/>
        </w:rPr>
        <w:t> </w:t>
      </w:r>
      <w:r>
        <w:rPr/>
        <w:t>unidade de</w:t>
      </w:r>
      <w:r>
        <w:rPr>
          <w:spacing w:val="-4"/>
        </w:rPr>
        <w:t> </w:t>
      </w:r>
      <w:r>
        <w:rPr/>
        <w:t>crédito</w:t>
      </w:r>
      <w:r>
        <w:rPr>
          <w:spacing w:val="-1"/>
        </w:rPr>
        <w:t> </w:t>
      </w:r>
      <w:r>
        <w:rPr/>
        <w:t>projetada, líquido</w:t>
      </w:r>
      <w:r>
        <w:rPr>
          <w:spacing w:val="-3"/>
        </w:rPr>
        <w:t> </w:t>
      </w:r>
      <w:r>
        <w:rPr/>
        <w:t>dos</w:t>
      </w:r>
      <w:r>
        <w:rPr>
          <w:spacing w:val="-4"/>
        </w:rPr>
        <w:t> </w:t>
      </w:r>
      <w:r>
        <w:rPr/>
        <w:t>ativos</w:t>
      </w:r>
      <w:r>
        <w:rPr>
          <w:spacing w:val="-3"/>
        </w:rPr>
        <w:t> </w:t>
      </w:r>
      <w:r>
        <w:rPr/>
        <w:t>garantidores</w:t>
      </w:r>
      <w:r>
        <w:rPr>
          <w:spacing w:val="-2"/>
        </w:rPr>
        <w:t> </w:t>
      </w:r>
      <w:r>
        <w:rPr/>
        <w:t>do plano,</w:t>
      </w:r>
      <w:r>
        <w:rPr>
          <w:spacing w:val="-3"/>
        </w:rPr>
        <w:t> </w:t>
      </w:r>
      <w:r>
        <w:rPr/>
        <w:t>quando</w:t>
      </w:r>
      <w:r>
        <w:rPr>
          <w:spacing w:val="-3"/>
        </w:rPr>
        <w:t> </w:t>
      </w:r>
      <w:r>
        <w:rPr/>
        <w:t>aplicável.</w:t>
      </w:r>
      <w:r>
        <w:rPr>
          <w:spacing w:val="-4"/>
        </w:rPr>
        <w:t> </w:t>
      </w:r>
      <w:r>
        <w:rPr/>
        <w:t>O</w:t>
      </w:r>
      <w:r>
        <w:rPr>
          <w:spacing w:val="-3"/>
        </w:rPr>
        <w:t> </w:t>
      </w:r>
      <w:r>
        <w:rPr/>
        <w:t>método</w:t>
      </w:r>
      <w:r>
        <w:rPr>
          <w:spacing w:val="-3"/>
        </w:rPr>
        <w:t> </w:t>
      </w:r>
      <w:r>
        <w:rPr/>
        <w:t>da unidade de crédito projetada considera cada período de serviço como fato gerador de uma unidade adicional de benefício, que são acumuladas para o cômputo da obrigação final, e considera determinadas premissas atuariais que</w:t>
      </w:r>
      <w:r>
        <w:rPr>
          <w:spacing w:val="-3"/>
        </w:rPr>
        <w:t> </w:t>
      </w:r>
      <w:r>
        <w:rPr/>
        <w:t>incluem:</w:t>
      </w:r>
      <w:r>
        <w:rPr>
          <w:spacing w:val="-1"/>
        </w:rPr>
        <w:t> </w:t>
      </w:r>
      <w:r>
        <w:rPr/>
        <w:t>estimativas</w:t>
      </w:r>
      <w:r>
        <w:rPr>
          <w:spacing w:val="-4"/>
        </w:rPr>
        <w:t> </w:t>
      </w:r>
      <w:r>
        <w:rPr/>
        <w:t>demográficas</w:t>
      </w:r>
      <w:r>
        <w:rPr>
          <w:spacing w:val="-2"/>
        </w:rPr>
        <w:t> </w:t>
      </w:r>
      <w:r>
        <w:rPr/>
        <w:t>e</w:t>
      </w:r>
      <w:r>
        <w:rPr>
          <w:spacing w:val="-4"/>
        </w:rPr>
        <w:t> </w:t>
      </w:r>
      <w:r>
        <w:rPr/>
        <w:t>econômicas,</w:t>
      </w:r>
      <w:r>
        <w:rPr>
          <w:spacing w:val="-4"/>
        </w:rPr>
        <w:t> </w:t>
      </w:r>
      <w:r>
        <w:rPr/>
        <w:t>estimativas</w:t>
      </w:r>
      <w:r>
        <w:rPr>
          <w:spacing w:val="-2"/>
        </w:rPr>
        <w:t> </w:t>
      </w:r>
      <w:r>
        <w:rPr/>
        <w:t>dos</w:t>
      </w:r>
      <w:r>
        <w:rPr>
          <w:spacing w:val="-3"/>
        </w:rPr>
        <w:t> </w:t>
      </w:r>
      <w:r>
        <w:rPr/>
        <w:t>custos</w:t>
      </w:r>
      <w:r>
        <w:rPr>
          <w:spacing w:val="-3"/>
        </w:rPr>
        <w:t> </w:t>
      </w:r>
      <w:r>
        <w:rPr/>
        <w:t>médicos,</w:t>
      </w:r>
      <w:r>
        <w:rPr>
          <w:spacing w:val="-3"/>
        </w:rPr>
        <w:t> </w:t>
      </w:r>
      <w:r>
        <w:rPr/>
        <w:t>bem</w:t>
      </w:r>
      <w:r>
        <w:rPr>
          <w:spacing w:val="-3"/>
        </w:rPr>
        <w:t> </w:t>
      </w:r>
      <w:r>
        <w:rPr/>
        <w:t>como</w:t>
      </w:r>
      <w:r>
        <w:rPr>
          <w:spacing w:val="-3"/>
        </w:rPr>
        <w:t> </w:t>
      </w:r>
      <w:r>
        <w:rPr/>
        <w:t>dados</w:t>
      </w:r>
      <w:r>
        <w:rPr>
          <w:spacing w:val="-3"/>
        </w:rPr>
        <w:t> </w:t>
      </w:r>
      <w:r>
        <w:rPr/>
        <w:t>históricos sobre as despesas e contribuições dos funcionários.</w:t>
      </w:r>
    </w:p>
    <w:p>
      <w:pPr>
        <w:pStyle w:val="BodyText"/>
        <w:spacing w:before="239"/>
        <w:ind w:left="151" w:right="354"/>
        <w:jc w:val="both"/>
      </w:pPr>
      <w:r>
        <w:rPr/>
        <w:t>O custo do serviço é reconhecido no resultado e compreende: i) custo do serviço corrente, que é o aumento no valor presente da obrigação de benefício definido resultante do serviço prestado pelo empregado no período corrente; ii) custo do serviço passado, que é a variação no valor presente da obrigação de benefício definido por serviço prestado por empregados em períodos anteriores, resultante de alteração (introdução, mudanças ou o cancelamento de um plano de benefício definido) ou de redução (uma redução significativa, pela entidade, no número de empregados cobertos por um plano); e iii) qualquer ganho ou perda na liquidação (settlement).</w:t>
      </w:r>
    </w:p>
    <w:p>
      <w:pPr>
        <w:pStyle w:val="BodyText"/>
        <w:spacing w:before="243"/>
        <w:ind w:left="151" w:right="356"/>
        <w:jc w:val="both"/>
      </w:pPr>
      <w:r>
        <w:rPr/>
        <w:t>Juros líquidos sobre o valor líquido de passivo de benefício definido é a mudança, durante o período, no valor líquido de passivo de benefício definido resultante da passagem do tempo. Tais juros foram reconhecidos no </w:t>
      </w:r>
      <w:r>
        <w:rPr>
          <w:spacing w:val="-2"/>
        </w:rPr>
        <w:t>resultado.</w:t>
      </w:r>
    </w:p>
    <w:p>
      <w:pPr>
        <w:pStyle w:val="BodyText"/>
        <w:spacing w:before="238"/>
        <w:ind w:left="151" w:right="357"/>
        <w:jc w:val="both"/>
      </w:pPr>
      <w:r>
        <w:rPr/>
        <w:t>Remensurações do valor líquido de passivo de benefício definido são reconhecidos no patrimônio líquido, em outros</w:t>
      </w:r>
      <w:r>
        <w:rPr>
          <w:spacing w:val="-4"/>
        </w:rPr>
        <w:t> </w:t>
      </w:r>
      <w:r>
        <w:rPr/>
        <w:t>resultados</w:t>
      </w:r>
      <w:r>
        <w:rPr>
          <w:spacing w:val="-6"/>
        </w:rPr>
        <w:t> </w:t>
      </w:r>
      <w:r>
        <w:rPr/>
        <w:t>abrangentes,</w:t>
      </w:r>
      <w:r>
        <w:rPr>
          <w:spacing w:val="-6"/>
        </w:rPr>
        <w:t> </w:t>
      </w:r>
      <w:r>
        <w:rPr/>
        <w:t>e</w:t>
      </w:r>
      <w:r>
        <w:rPr>
          <w:spacing w:val="-3"/>
        </w:rPr>
        <w:t> </w:t>
      </w:r>
      <w:r>
        <w:rPr/>
        <w:t>compreendem:</w:t>
      </w:r>
      <w:r>
        <w:rPr>
          <w:spacing w:val="-3"/>
        </w:rPr>
        <w:t> </w:t>
      </w:r>
      <w:r>
        <w:rPr/>
        <w:t>i)</w:t>
      </w:r>
      <w:r>
        <w:rPr>
          <w:spacing w:val="-5"/>
        </w:rPr>
        <w:t> </w:t>
      </w:r>
      <w:r>
        <w:rPr/>
        <w:t>ganhos</w:t>
      </w:r>
      <w:r>
        <w:rPr>
          <w:spacing w:val="-2"/>
        </w:rPr>
        <w:t> </w:t>
      </w:r>
      <w:r>
        <w:rPr/>
        <w:t>e</w:t>
      </w:r>
      <w:r>
        <w:rPr>
          <w:spacing w:val="-5"/>
        </w:rPr>
        <w:t> </w:t>
      </w:r>
      <w:r>
        <w:rPr/>
        <w:t>perdas</w:t>
      </w:r>
      <w:r>
        <w:rPr>
          <w:spacing w:val="-5"/>
        </w:rPr>
        <w:t> </w:t>
      </w:r>
      <w:r>
        <w:rPr/>
        <w:t>atuariais</w:t>
      </w:r>
      <w:r>
        <w:rPr>
          <w:spacing w:val="-6"/>
        </w:rPr>
        <w:t> </w:t>
      </w:r>
      <w:r>
        <w:rPr/>
        <w:t>e</w:t>
      </w:r>
      <w:r>
        <w:rPr>
          <w:spacing w:val="-4"/>
        </w:rPr>
        <w:t> </w:t>
      </w:r>
      <w:r>
        <w:rPr/>
        <w:t>ii)</w:t>
      </w:r>
      <w:r>
        <w:rPr>
          <w:spacing w:val="-5"/>
        </w:rPr>
        <w:t> </w:t>
      </w:r>
      <w:r>
        <w:rPr/>
        <w:t>retorno</w:t>
      </w:r>
      <w:r>
        <w:rPr>
          <w:spacing w:val="-3"/>
        </w:rPr>
        <w:t> </w:t>
      </w:r>
      <w:r>
        <w:rPr/>
        <w:t>sobre</w:t>
      </w:r>
      <w:r>
        <w:rPr>
          <w:spacing w:val="-5"/>
        </w:rPr>
        <w:t> </w:t>
      </w:r>
      <w:r>
        <w:rPr/>
        <w:t>os</w:t>
      </w:r>
      <w:r>
        <w:rPr>
          <w:spacing w:val="-6"/>
        </w:rPr>
        <w:t> </w:t>
      </w:r>
      <w:r>
        <w:rPr/>
        <w:t>ativos</w:t>
      </w:r>
      <w:r>
        <w:rPr>
          <w:spacing w:val="-5"/>
        </w:rPr>
        <w:t> </w:t>
      </w:r>
      <w:r>
        <w:rPr/>
        <w:t>do</w:t>
      </w:r>
      <w:r>
        <w:rPr>
          <w:spacing w:val="-7"/>
        </w:rPr>
        <w:t> </w:t>
      </w:r>
      <w:r>
        <w:rPr/>
        <w:t>plano, excluindo valores considerados nos juros líquidos sobre o valor líquido de passivo (ativo) de benefício</w:t>
      </w:r>
      <w:r>
        <w:rPr>
          <w:spacing w:val="-27"/>
        </w:rPr>
        <w:t> </w:t>
      </w:r>
      <w:r>
        <w:rPr/>
        <w:t>definido.</w:t>
      </w:r>
    </w:p>
    <w:p>
      <w:pPr>
        <w:spacing w:after="0"/>
        <w:jc w:val="both"/>
        <w:sectPr>
          <w:pgSz w:w="11910" w:h="16840"/>
          <w:pgMar w:header="637" w:footer="630" w:top="1800" w:bottom="820" w:left="700" w:right="480"/>
        </w:sectPr>
      </w:pPr>
    </w:p>
    <w:p>
      <w:pPr>
        <w:pStyle w:val="BodyText"/>
        <w:spacing w:before="51"/>
        <w:rPr>
          <w:sz w:val="26"/>
        </w:rPr>
      </w:pPr>
    </w:p>
    <w:p>
      <w:pPr>
        <w:pStyle w:val="Heading3"/>
        <w:numPr>
          <w:ilvl w:val="0"/>
          <w:numId w:val="9"/>
        </w:numPr>
        <w:tabs>
          <w:tab w:pos="718" w:val="left" w:leader="none"/>
        </w:tabs>
        <w:spacing w:line="240" w:lineRule="auto" w:before="1" w:after="0"/>
        <w:ind w:left="718" w:right="0" w:hanging="568"/>
        <w:jc w:val="left"/>
      </w:pPr>
      <w:bookmarkStart w:name="_TOC_250005" w:id="20"/>
      <w:r>
        <w:rPr/>
        <w:t>Patrimônio</w:t>
      </w:r>
      <w:r>
        <w:rPr>
          <w:spacing w:val="-12"/>
        </w:rPr>
        <w:t> </w:t>
      </w:r>
      <w:bookmarkEnd w:id="20"/>
      <w:r>
        <w:rPr>
          <w:spacing w:val="-2"/>
        </w:rPr>
        <w:t>líquido</w:t>
      </w:r>
    </w:p>
    <w:p>
      <w:pPr>
        <w:pStyle w:val="ListParagraph"/>
        <w:numPr>
          <w:ilvl w:val="1"/>
          <w:numId w:val="9"/>
        </w:numPr>
        <w:tabs>
          <w:tab w:pos="713" w:val="left" w:leader="none"/>
        </w:tabs>
        <w:spacing w:line="240" w:lineRule="auto" w:before="235" w:after="0"/>
        <w:ind w:left="713" w:right="0" w:hanging="563"/>
        <w:jc w:val="left"/>
        <w:rPr>
          <w:b/>
          <w:sz w:val="24"/>
        </w:rPr>
      </w:pPr>
      <w:r>
        <w:rPr>
          <w:b/>
          <w:sz w:val="24"/>
        </w:rPr>
        <w:t>Capital</w:t>
      </w:r>
      <w:r>
        <w:rPr>
          <w:b/>
          <w:spacing w:val="-1"/>
          <w:sz w:val="24"/>
        </w:rPr>
        <w:t> </w:t>
      </w:r>
      <w:r>
        <w:rPr>
          <w:b/>
          <w:sz w:val="24"/>
        </w:rPr>
        <w:t>social</w:t>
      </w:r>
      <w:r>
        <w:rPr>
          <w:b/>
          <w:spacing w:val="-1"/>
          <w:sz w:val="24"/>
        </w:rPr>
        <w:t> </w:t>
      </w:r>
      <w:r>
        <w:rPr>
          <w:b/>
          <w:spacing w:val="-2"/>
          <w:sz w:val="24"/>
        </w:rPr>
        <w:t>realizado</w:t>
      </w:r>
    </w:p>
    <w:p>
      <w:pPr>
        <w:pStyle w:val="BodyText"/>
        <w:spacing w:before="241"/>
        <w:ind w:left="152" w:right="355" w:hanging="1"/>
        <w:jc w:val="both"/>
      </w:pPr>
      <w:r>
        <w:rPr/>
        <w:t>Em 31 de dezembro de 2022 e 2021, o capital subscrito e integralizado no valor de R$ 2.461.721 e R$ 2.497.051, está representado por 2.461.720.916 e 2.497.051.443 ações ordinárias, nominativas sem valor nominal, </w:t>
      </w:r>
      <w:r>
        <w:rPr>
          <w:spacing w:val="-2"/>
        </w:rPr>
        <w:t>respectivamente.</w:t>
      </w:r>
    </w:p>
    <w:p>
      <w:pPr>
        <w:spacing w:before="240"/>
        <w:ind w:left="152" w:right="0" w:firstLine="0"/>
        <w:jc w:val="both"/>
        <w:rPr>
          <w:b/>
          <w:sz w:val="24"/>
        </w:rPr>
      </w:pPr>
      <w:r>
        <w:rPr>
          <w:b/>
          <w:sz w:val="24"/>
        </w:rPr>
        <w:t>Redução</w:t>
      </w:r>
      <w:r>
        <w:rPr>
          <w:b/>
          <w:spacing w:val="-2"/>
          <w:sz w:val="24"/>
        </w:rPr>
        <w:t> </w:t>
      </w:r>
      <w:r>
        <w:rPr>
          <w:b/>
          <w:sz w:val="24"/>
        </w:rPr>
        <w:t>de</w:t>
      </w:r>
      <w:r>
        <w:rPr>
          <w:b/>
          <w:spacing w:val="-1"/>
          <w:sz w:val="24"/>
        </w:rPr>
        <w:t> </w:t>
      </w:r>
      <w:r>
        <w:rPr>
          <w:b/>
          <w:spacing w:val="-2"/>
          <w:sz w:val="24"/>
        </w:rPr>
        <w:t>capital</w:t>
      </w:r>
    </w:p>
    <w:p>
      <w:pPr>
        <w:spacing w:before="240"/>
        <w:ind w:left="152" w:right="358" w:firstLine="0"/>
        <w:jc w:val="both"/>
        <w:rPr>
          <w:sz w:val="24"/>
        </w:rPr>
      </w:pPr>
      <w:r>
        <w:rPr>
          <w:sz w:val="24"/>
        </w:rPr>
        <w:t>Em Assembleia Geral Extraordinária (”AGE“), de 8 de julho de 2022, o acionista aprovou a redução do capital</w:t>
      </w:r>
      <w:r>
        <w:rPr>
          <w:spacing w:val="-9"/>
          <w:sz w:val="24"/>
        </w:rPr>
        <w:t> </w:t>
      </w:r>
      <w:r>
        <w:rPr>
          <w:sz w:val="24"/>
        </w:rPr>
        <w:t>social,</w:t>
      </w:r>
      <w:r>
        <w:rPr>
          <w:spacing w:val="-14"/>
          <w:sz w:val="24"/>
        </w:rPr>
        <w:t> </w:t>
      </w:r>
      <w:r>
        <w:rPr>
          <w:sz w:val="24"/>
        </w:rPr>
        <w:t>no</w:t>
      </w:r>
      <w:r>
        <w:rPr>
          <w:spacing w:val="-9"/>
          <w:sz w:val="24"/>
        </w:rPr>
        <w:t> </w:t>
      </w:r>
      <w:r>
        <w:rPr>
          <w:sz w:val="24"/>
        </w:rPr>
        <w:t>valor</w:t>
      </w:r>
      <w:r>
        <w:rPr>
          <w:spacing w:val="-10"/>
          <w:sz w:val="24"/>
        </w:rPr>
        <w:t> </w:t>
      </w:r>
      <w:r>
        <w:rPr>
          <w:sz w:val="24"/>
        </w:rPr>
        <w:t>de</w:t>
      </w:r>
      <w:r>
        <w:rPr>
          <w:spacing w:val="-13"/>
          <w:sz w:val="24"/>
        </w:rPr>
        <w:t> </w:t>
      </w:r>
      <w:r>
        <w:rPr>
          <w:sz w:val="24"/>
        </w:rPr>
        <w:t>R$</w:t>
      </w:r>
      <w:r>
        <w:rPr>
          <w:spacing w:val="-12"/>
          <w:sz w:val="24"/>
        </w:rPr>
        <w:t> </w:t>
      </w:r>
      <w:r>
        <w:rPr>
          <w:sz w:val="24"/>
        </w:rPr>
        <w:t>35.330,</w:t>
      </w:r>
      <w:r>
        <w:rPr>
          <w:spacing w:val="-10"/>
          <w:sz w:val="24"/>
        </w:rPr>
        <w:t> </w:t>
      </w:r>
      <w:r>
        <w:rPr>
          <w:sz w:val="24"/>
        </w:rPr>
        <w:t>com</w:t>
      </w:r>
      <w:r>
        <w:rPr>
          <w:spacing w:val="-10"/>
          <w:sz w:val="24"/>
        </w:rPr>
        <w:t> </w:t>
      </w:r>
      <w:r>
        <w:rPr>
          <w:sz w:val="24"/>
        </w:rPr>
        <w:t>a</w:t>
      </w:r>
      <w:r>
        <w:rPr>
          <w:spacing w:val="-11"/>
          <w:sz w:val="24"/>
        </w:rPr>
        <w:t> </w:t>
      </w:r>
      <w:r>
        <w:rPr>
          <w:sz w:val="24"/>
        </w:rPr>
        <w:t>cessão</w:t>
      </w:r>
      <w:r>
        <w:rPr>
          <w:spacing w:val="-13"/>
          <w:sz w:val="24"/>
        </w:rPr>
        <w:t> </w:t>
      </w:r>
      <w:r>
        <w:rPr>
          <w:sz w:val="24"/>
        </w:rPr>
        <w:t>para</w:t>
      </w:r>
      <w:r>
        <w:rPr>
          <w:spacing w:val="-10"/>
          <w:sz w:val="24"/>
        </w:rPr>
        <w:t> </w:t>
      </w:r>
      <w:r>
        <w:rPr>
          <w:sz w:val="24"/>
        </w:rPr>
        <w:t>a</w:t>
      </w:r>
      <w:r>
        <w:rPr>
          <w:spacing w:val="-11"/>
          <w:sz w:val="24"/>
        </w:rPr>
        <w:t> </w:t>
      </w:r>
      <w:r>
        <w:rPr>
          <w:sz w:val="24"/>
        </w:rPr>
        <w:t>Petrobras,</w:t>
      </w:r>
      <w:r>
        <w:rPr>
          <w:spacing w:val="-14"/>
          <w:sz w:val="24"/>
        </w:rPr>
        <w:t> </w:t>
      </w:r>
      <w:r>
        <w:rPr>
          <w:sz w:val="24"/>
        </w:rPr>
        <w:t>em</w:t>
      </w:r>
      <w:r>
        <w:rPr>
          <w:spacing w:val="-9"/>
          <w:sz w:val="24"/>
        </w:rPr>
        <w:t> </w:t>
      </w:r>
      <w:r>
        <w:rPr>
          <w:sz w:val="24"/>
        </w:rPr>
        <w:t>montante</w:t>
      </w:r>
      <w:r>
        <w:rPr>
          <w:spacing w:val="-12"/>
          <w:sz w:val="24"/>
        </w:rPr>
        <w:t> </w:t>
      </w:r>
      <w:r>
        <w:rPr>
          <w:sz w:val="24"/>
        </w:rPr>
        <w:t>equivalente</w:t>
      </w:r>
      <w:r>
        <w:rPr>
          <w:spacing w:val="-13"/>
          <w:sz w:val="24"/>
        </w:rPr>
        <w:t> </w:t>
      </w:r>
      <w:r>
        <w:rPr>
          <w:sz w:val="24"/>
        </w:rPr>
        <w:t>de</w:t>
      </w:r>
      <w:r>
        <w:rPr>
          <w:spacing w:val="-9"/>
          <w:sz w:val="24"/>
        </w:rPr>
        <w:t> </w:t>
      </w:r>
      <w:r>
        <w:rPr>
          <w:sz w:val="24"/>
        </w:rPr>
        <w:t>créditos de ICMS, regularmente habilitados no Sistema de Controle da Transferência e Utilização de Créditos Acumulados – SISCRED, do Estado do Paraná (nota 10.1 (i)).</w:t>
      </w:r>
    </w:p>
    <w:p>
      <w:pPr>
        <w:pStyle w:val="ListParagraph"/>
        <w:numPr>
          <w:ilvl w:val="1"/>
          <w:numId w:val="9"/>
        </w:numPr>
        <w:tabs>
          <w:tab w:pos="859" w:val="left" w:leader="none"/>
        </w:tabs>
        <w:spacing w:line="240" w:lineRule="auto" w:before="240" w:after="0"/>
        <w:ind w:left="859" w:right="0" w:hanging="709"/>
        <w:jc w:val="left"/>
        <w:rPr>
          <w:b/>
          <w:sz w:val="24"/>
        </w:rPr>
      </w:pPr>
      <w:r>
        <w:rPr>
          <w:b/>
          <w:sz w:val="24"/>
        </w:rPr>
        <w:t>Outros</w:t>
      </w:r>
      <w:r>
        <w:rPr>
          <w:b/>
          <w:spacing w:val="-3"/>
          <w:sz w:val="24"/>
        </w:rPr>
        <w:t> </w:t>
      </w:r>
      <w:r>
        <w:rPr>
          <w:b/>
          <w:sz w:val="24"/>
        </w:rPr>
        <w:t>resultados</w:t>
      </w:r>
      <w:r>
        <w:rPr>
          <w:b/>
          <w:spacing w:val="-5"/>
          <w:sz w:val="24"/>
        </w:rPr>
        <w:t> </w:t>
      </w:r>
      <w:r>
        <w:rPr>
          <w:b/>
          <w:spacing w:val="-2"/>
          <w:sz w:val="24"/>
        </w:rPr>
        <w:t>abrangentes</w:t>
      </w:r>
    </w:p>
    <w:p>
      <w:pPr>
        <w:pStyle w:val="BodyText"/>
        <w:spacing w:before="241"/>
        <w:ind w:left="152" w:right="359" w:hanging="1"/>
        <w:jc w:val="both"/>
      </w:pPr>
      <w:r>
        <w:rPr/>
        <w:t>Até 2021, a Companhia reconheceu perda líquida de R$ 27.416 com remensuração dos seus planos de pensão e assistência médica, sendo perda de R$ 30.460 com planos de pensão e ganho de R$ 3.044 com plano de saúde (nota 11.4).</w:t>
      </w:r>
    </w:p>
    <w:p>
      <w:pPr>
        <w:pStyle w:val="BodyText"/>
        <w:spacing w:before="241"/>
        <w:ind w:left="152"/>
        <w:jc w:val="both"/>
      </w:pPr>
      <w:r>
        <w:rPr/>
        <w:t>Em</w:t>
      </w:r>
      <w:r>
        <w:rPr>
          <w:spacing w:val="-7"/>
        </w:rPr>
        <w:t> </w:t>
      </w:r>
      <w:r>
        <w:rPr/>
        <w:t>2022,</w:t>
      </w:r>
      <w:r>
        <w:rPr>
          <w:spacing w:val="-7"/>
        </w:rPr>
        <w:t> </w:t>
      </w:r>
      <w:r>
        <w:rPr/>
        <w:t>conforme</w:t>
      </w:r>
      <w:r>
        <w:rPr>
          <w:spacing w:val="-7"/>
        </w:rPr>
        <w:t> </w:t>
      </w:r>
      <w:r>
        <w:rPr/>
        <w:t>nota</w:t>
      </w:r>
      <w:r>
        <w:rPr>
          <w:spacing w:val="-5"/>
        </w:rPr>
        <w:t> </w:t>
      </w:r>
      <w:r>
        <w:rPr/>
        <w:t>explicativa</w:t>
      </w:r>
      <w:r>
        <w:rPr>
          <w:spacing w:val="-7"/>
        </w:rPr>
        <w:t> </w:t>
      </w:r>
      <w:r>
        <w:rPr/>
        <w:t>nº</w:t>
      </w:r>
      <w:r>
        <w:rPr>
          <w:spacing w:val="-5"/>
        </w:rPr>
        <w:t> </w:t>
      </w:r>
      <w:r>
        <w:rPr/>
        <w:t>11.4,</w:t>
      </w:r>
      <w:r>
        <w:rPr>
          <w:spacing w:val="-7"/>
        </w:rPr>
        <w:t> </w:t>
      </w:r>
      <w:r>
        <w:rPr/>
        <w:t>os</w:t>
      </w:r>
      <w:r>
        <w:rPr>
          <w:spacing w:val="-6"/>
        </w:rPr>
        <w:t> </w:t>
      </w:r>
      <w:r>
        <w:rPr/>
        <w:t>planos</w:t>
      </w:r>
      <w:r>
        <w:rPr>
          <w:spacing w:val="-7"/>
        </w:rPr>
        <w:t> </w:t>
      </w:r>
      <w:r>
        <w:rPr/>
        <w:t>de</w:t>
      </w:r>
      <w:r>
        <w:rPr>
          <w:spacing w:val="-7"/>
        </w:rPr>
        <w:t> </w:t>
      </w:r>
      <w:r>
        <w:rPr/>
        <w:t>benefícios</w:t>
      </w:r>
      <w:r>
        <w:rPr>
          <w:spacing w:val="-7"/>
        </w:rPr>
        <w:t> </w:t>
      </w:r>
      <w:r>
        <w:rPr/>
        <w:t>foram</w:t>
      </w:r>
      <w:r>
        <w:rPr>
          <w:spacing w:val="-7"/>
        </w:rPr>
        <w:t> </w:t>
      </w:r>
      <w:r>
        <w:rPr>
          <w:spacing w:val="-2"/>
        </w:rPr>
        <w:t>extintos.</w:t>
      </w:r>
    </w:p>
    <w:p>
      <w:pPr>
        <w:pStyle w:val="ListParagraph"/>
        <w:numPr>
          <w:ilvl w:val="1"/>
          <w:numId w:val="9"/>
        </w:numPr>
        <w:tabs>
          <w:tab w:pos="859" w:val="left" w:leader="none"/>
        </w:tabs>
        <w:spacing w:line="240" w:lineRule="auto" w:before="239" w:after="0"/>
        <w:ind w:left="859" w:right="0" w:hanging="709"/>
        <w:jc w:val="left"/>
        <w:rPr>
          <w:b/>
          <w:sz w:val="24"/>
        </w:rPr>
      </w:pPr>
      <w:r>
        <w:rPr>
          <w:b/>
          <w:sz w:val="24"/>
        </w:rPr>
        <w:t>Prejuízos</w:t>
      </w:r>
      <w:r>
        <w:rPr>
          <w:b/>
          <w:spacing w:val="-1"/>
          <w:sz w:val="24"/>
        </w:rPr>
        <w:t> </w:t>
      </w:r>
      <w:r>
        <w:rPr>
          <w:b/>
          <w:spacing w:val="-2"/>
          <w:sz w:val="24"/>
        </w:rPr>
        <w:t>acumulados</w:t>
      </w:r>
    </w:p>
    <w:p>
      <w:pPr>
        <w:pStyle w:val="BodyText"/>
        <w:spacing w:before="241"/>
        <w:ind w:left="151" w:right="356"/>
        <w:jc w:val="both"/>
      </w:pPr>
      <w:r>
        <w:rPr/>
        <w:t>O prejuízo acumulado em 31 de dezembro de 2022 alcançou o montante de R$ 2.234.672, tendo a Companhia apurado um lucro no exercício de R$ 1.472 (R$ 64.302 em 2021). Esse resultado decorre, principalmente, pelo resultado financeiro positivo, em função rendimentos de aplicações financeiras e atualização monetária de impostos (PIS/COFINS) a restituir.</w:t>
      </w:r>
    </w:p>
    <w:p>
      <w:pPr>
        <w:pStyle w:val="ListParagraph"/>
        <w:numPr>
          <w:ilvl w:val="1"/>
          <w:numId w:val="9"/>
        </w:numPr>
        <w:tabs>
          <w:tab w:pos="859" w:val="left" w:leader="none"/>
        </w:tabs>
        <w:spacing w:line="240" w:lineRule="auto" w:before="240" w:after="0"/>
        <w:ind w:left="859" w:right="0" w:hanging="709"/>
        <w:jc w:val="left"/>
        <w:rPr>
          <w:b/>
          <w:sz w:val="24"/>
        </w:rPr>
      </w:pPr>
      <w:r>
        <w:rPr/>
        <mc:AlternateContent>
          <mc:Choice Requires="wps">
            <w:drawing>
              <wp:anchor distT="0" distB="0" distL="0" distR="0" allowOverlap="1" layoutInCell="1" locked="0" behindDoc="1" simplePos="0" relativeHeight="485612544">
                <wp:simplePos x="0" y="0"/>
                <wp:positionH relativeFrom="page">
                  <wp:posOffset>5292509</wp:posOffset>
                </wp:positionH>
                <wp:positionV relativeFrom="paragraph">
                  <wp:posOffset>647332</wp:posOffset>
                </wp:positionV>
                <wp:extent cx="1762760" cy="3937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1762760" cy="39370"/>
                          <a:chExt cx="1762760" cy="39370"/>
                        </a:xfrm>
                      </wpg:grpSpPr>
                      <wps:wsp>
                        <wps:cNvPr id="116" name="Graphic 116"/>
                        <wps:cNvSpPr/>
                        <wps:spPr>
                          <a:xfrm>
                            <a:off x="16345" y="17514"/>
                            <a:ext cx="1696720" cy="7620"/>
                          </a:xfrm>
                          <a:custGeom>
                            <a:avLst/>
                            <a:gdLst/>
                            <a:ahLst/>
                            <a:cxnLst/>
                            <a:rect l="l" t="t" r="r" b="b"/>
                            <a:pathLst>
                              <a:path w="1696720" h="7620">
                                <a:moveTo>
                                  <a:pt x="905243" y="0"/>
                                </a:moveTo>
                                <a:lnTo>
                                  <a:pt x="0" y="0"/>
                                </a:lnTo>
                                <a:lnTo>
                                  <a:pt x="0" y="7607"/>
                                </a:lnTo>
                                <a:lnTo>
                                  <a:pt x="905243" y="7607"/>
                                </a:lnTo>
                                <a:lnTo>
                                  <a:pt x="905243" y="0"/>
                                </a:lnTo>
                                <a:close/>
                              </a:path>
                              <a:path w="1696720" h="7620">
                                <a:moveTo>
                                  <a:pt x="1696199" y="0"/>
                                </a:moveTo>
                                <a:lnTo>
                                  <a:pt x="1473708" y="0"/>
                                </a:lnTo>
                                <a:lnTo>
                                  <a:pt x="1473708" y="7607"/>
                                </a:lnTo>
                                <a:lnTo>
                                  <a:pt x="1696199" y="7607"/>
                                </a:lnTo>
                                <a:lnTo>
                                  <a:pt x="1696199"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12700" y="12700"/>
                            <a:ext cx="1737360" cy="13970"/>
                          </a:xfrm>
                          <a:custGeom>
                            <a:avLst/>
                            <a:gdLst/>
                            <a:ahLst/>
                            <a:cxnLst/>
                            <a:rect l="l" t="t" r="r" b="b"/>
                            <a:pathLst>
                              <a:path w="1737360" h="13970">
                                <a:moveTo>
                                  <a:pt x="0" y="13347"/>
                                </a:moveTo>
                                <a:lnTo>
                                  <a:pt x="1737362"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6.733002pt;margin-top:50.971039pt;width:138.8pt;height:3.1pt;mso-position-horizontal-relative:page;mso-position-vertical-relative:paragraph;z-index:-17703936" id="docshapegroup88" coordorigin="8335,1019" coordsize="2776,62">
                <v:shape style="position:absolute;left:8360;top:1047;width:2672;height:12" id="docshape89" coordorigin="8360,1047" coordsize="2672,12" path="m9786,1047l8360,1047,8360,1059,9786,1059,9786,1047xm11032,1047l10681,1047,10681,1059,11032,1059,11032,1047xe" filled="true" fillcolor="#000000" stroked="false">
                  <v:path arrowok="t"/>
                  <v:fill type="solid"/>
                </v:shape>
                <v:line style="position:absolute" from="8355,1060" to="11091,1039" stroked="true" strokeweight="2pt" strokecolor="#000000">
                  <v:stroke dashstyle="solid"/>
                </v:line>
                <w10:wrap type="none"/>
              </v:group>
            </w:pict>
          </mc:Fallback>
        </mc:AlternateContent>
      </w:r>
      <w:r>
        <w:rPr>
          <w:b/>
          <w:sz w:val="24"/>
        </w:rPr>
        <w:t>Resultado</w:t>
      </w:r>
      <w:r>
        <w:rPr>
          <w:b/>
          <w:spacing w:val="-2"/>
          <w:sz w:val="24"/>
        </w:rPr>
        <w:t> </w:t>
      </w:r>
      <w:r>
        <w:rPr>
          <w:b/>
          <w:sz w:val="24"/>
        </w:rPr>
        <w:t>por</w:t>
      </w:r>
      <w:r>
        <w:rPr>
          <w:b/>
          <w:spacing w:val="-2"/>
          <w:sz w:val="24"/>
        </w:rPr>
        <w:t> </w:t>
      </w:r>
      <w:r>
        <w:rPr>
          <w:b/>
          <w:spacing w:val="-4"/>
          <w:sz w:val="24"/>
        </w:rPr>
        <w:t>ação</w:t>
      </w:r>
    </w:p>
    <w:p>
      <w:pPr>
        <w:pStyle w:val="BodyText"/>
        <w:spacing w:before="10"/>
        <w:rPr>
          <w:b/>
          <w:sz w:val="17"/>
        </w:rPr>
      </w:pPr>
      <w:r>
        <w:rPr/>
        <mc:AlternateContent>
          <mc:Choice Requires="wps">
            <w:drawing>
              <wp:anchor distT="0" distB="0" distL="0" distR="0" allowOverlap="1" layoutInCell="1" locked="0" behindDoc="1" simplePos="0" relativeHeight="487612416">
                <wp:simplePos x="0" y="0"/>
                <wp:positionH relativeFrom="page">
                  <wp:posOffset>5304282</wp:posOffset>
                </wp:positionH>
                <wp:positionV relativeFrom="paragraph">
                  <wp:posOffset>153425</wp:posOffset>
                </wp:positionV>
                <wp:extent cx="1701164" cy="635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701164" cy="6350"/>
                        </a:xfrm>
                        <a:custGeom>
                          <a:avLst/>
                          <a:gdLst/>
                          <a:ahLst/>
                          <a:cxnLst/>
                          <a:rect l="l" t="t" r="r" b="b"/>
                          <a:pathLst>
                            <a:path w="1701164" h="6350">
                              <a:moveTo>
                                <a:pt x="1700784" y="0"/>
                              </a:moveTo>
                              <a:lnTo>
                                <a:pt x="0" y="0"/>
                              </a:lnTo>
                              <a:lnTo>
                                <a:pt x="0" y="6095"/>
                              </a:lnTo>
                              <a:lnTo>
                                <a:pt x="1700784" y="6095"/>
                              </a:lnTo>
                              <a:lnTo>
                                <a:pt x="1700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7.660004pt;margin-top:12.080723pt;width:133.920pt;height:.47998pt;mso-position-horizontal-relative:page;mso-position-vertical-relative:paragraph;z-index:-15704064;mso-wrap-distance-left:0;mso-wrap-distance-right:0" id="docshape90" filled="true" fillcolor="#000000" stroked="false">
                <v:fill type="solid"/>
                <w10:wrap type="topAndBottom"/>
              </v:rect>
            </w:pict>
          </mc:Fallback>
        </mc:AlternateContent>
      </w:r>
    </w:p>
    <w:p>
      <w:pPr>
        <w:tabs>
          <w:tab w:pos="1394" w:val="left" w:leader="none"/>
        </w:tabs>
        <w:spacing w:before="71"/>
        <w:ind w:left="0" w:right="376" w:firstLine="0"/>
        <w:jc w:val="right"/>
        <w:rPr>
          <w:b/>
          <w:sz w:val="18"/>
        </w:rPr>
      </w:pPr>
      <w:r>
        <w:rPr>
          <w:b/>
          <w:spacing w:val="-4"/>
          <w:sz w:val="18"/>
        </w:rPr>
        <w:t>2022</w:t>
      </w:r>
      <w:r>
        <w:rPr>
          <w:b/>
          <w:sz w:val="18"/>
        </w:rPr>
        <w:tab/>
      </w:r>
      <w:r>
        <w:rPr>
          <w:b/>
          <w:spacing w:val="-4"/>
          <w:sz w:val="18"/>
        </w:rPr>
        <w:t>2021</w:t>
      </w:r>
    </w:p>
    <w:p>
      <w:pPr>
        <w:tabs>
          <w:tab w:pos="8541" w:val="left" w:leader="none"/>
          <w:tab w:pos="10271" w:val="right" w:leader="none"/>
        </w:tabs>
        <w:spacing w:before="379"/>
        <w:ind w:left="219" w:right="0" w:firstLine="0"/>
        <w:jc w:val="left"/>
        <w:rPr>
          <w:sz w:val="18"/>
        </w:rPr>
      </w:pPr>
      <w:r>
        <w:rPr>
          <w:sz w:val="18"/>
        </w:rPr>
        <w:t>Lucro</w:t>
      </w:r>
      <w:r>
        <w:rPr>
          <w:spacing w:val="-4"/>
          <w:sz w:val="18"/>
        </w:rPr>
        <w:t> </w:t>
      </w:r>
      <w:r>
        <w:rPr>
          <w:sz w:val="18"/>
        </w:rPr>
        <w:t>líquido</w:t>
      </w:r>
      <w:r>
        <w:rPr>
          <w:spacing w:val="-4"/>
          <w:sz w:val="18"/>
        </w:rPr>
        <w:t> </w:t>
      </w:r>
      <w:r>
        <w:rPr>
          <w:sz w:val="18"/>
        </w:rPr>
        <w:t>atribuível</w:t>
      </w:r>
      <w:r>
        <w:rPr>
          <w:spacing w:val="-4"/>
          <w:sz w:val="18"/>
        </w:rPr>
        <w:t> </w:t>
      </w:r>
      <w:r>
        <w:rPr>
          <w:sz w:val="18"/>
        </w:rPr>
        <w:t>aos</w:t>
      </w:r>
      <w:r>
        <w:rPr>
          <w:spacing w:val="-4"/>
          <w:sz w:val="18"/>
        </w:rPr>
        <w:t> </w:t>
      </w:r>
      <w:r>
        <w:rPr>
          <w:sz w:val="18"/>
        </w:rPr>
        <w:t>acionistas</w:t>
      </w:r>
      <w:r>
        <w:rPr>
          <w:spacing w:val="-4"/>
          <w:sz w:val="18"/>
        </w:rPr>
        <w:t> </w:t>
      </w:r>
      <w:r>
        <w:rPr>
          <w:sz w:val="18"/>
        </w:rPr>
        <w:t>da</w:t>
      </w:r>
      <w:r>
        <w:rPr>
          <w:spacing w:val="-4"/>
          <w:sz w:val="18"/>
        </w:rPr>
        <w:t> </w:t>
      </w:r>
      <w:r>
        <w:rPr>
          <w:sz w:val="18"/>
        </w:rPr>
        <w:t>Araucária</w:t>
      </w:r>
      <w:r>
        <w:rPr>
          <w:spacing w:val="-3"/>
          <w:sz w:val="18"/>
        </w:rPr>
        <w:t> </w:t>
      </w:r>
      <w:r>
        <w:rPr>
          <w:spacing w:val="-2"/>
          <w:sz w:val="18"/>
        </w:rPr>
        <w:t>Nitrogenados</w:t>
      </w:r>
      <w:r>
        <w:rPr>
          <w:sz w:val="18"/>
        </w:rPr>
        <w:tab/>
      </w:r>
      <w:r>
        <w:rPr>
          <w:spacing w:val="-2"/>
          <w:sz w:val="18"/>
        </w:rPr>
        <w:t>1.472</w:t>
      </w:r>
      <w:r>
        <w:rPr>
          <w:rFonts w:ascii="Times New Roman" w:hAnsi="Times New Roman"/>
          <w:sz w:val="18"/>
        </w:rPr>
        <w:tab/>
      </w:r>
      <w:r>
        <w:rPr>
          <w:spacing w:val="-2"/>
          <w:sz w:val="18"/>
        </w:rPr>
        <w:t>64.302</w:t>
      </w:r>
    </w:p>
    <w:p>
      <w:pPr>
        <w:tabs>
          <w:tab w:pos="7901" w:val="left" w:leader="none"/>
          <w:tab w:pos="10345" w:val="right" w:leader="none"/>
        </w:tabs>
        <w:spacing w:before="80"/>
        <w:ind w:left="219" w:right="0" w:firstLine="0"/>
        <w:jc w:val="left"/>
        <w:rPr>
          <w:sz w:val="18"/>
        </w:rPr>
      </w:pPr>
      <w:r>
        <w:rPr/>
        <mc:AlternateContent>
          <mc:Choice Requires="wps">
            <w:drawing>
              <wp:anchor distT="0" distB="0" distL="0" distR="0" allowOverlap="1" layoutInCell="1" locked="0" behindDoc="1" simplePos="0" relativeHeight="485613056">
                <wp:simplePos x="0" y="0"/>
                <wp:positionH relativeFrom="page">
                  <wp:posOffset>5273484</wp:posOffset>
                </wp:positionH>
                <wp:positionV relativeFrom="paragraph">
                  <wp:posOffset>162564</wp:posOffset>
                </wp:positionV>
                <wp:extent cx="1762760" cy="39370"/>
                <wp:effectExtent l="0" t="0" r="0" b="0"/>
                <wp:wrapNone/>
                <wp:docPr id="119" name="Group 119"/>
                <wp:cNvGraphicFramePr>
                  <a:graphicFrameLocks/>
                </wp:cNvGraphicFramePr>
                <a:graphic>
                  <a:graphicData uri="http://schemas.microsoft.com/office/word/2010/wordprocessingGroup">
                    <wpg:wgp>
                      <wpg:cNvPr id="119" name="Group 119"/>
                      <wpg:cNvGrpSpPr/>
                      <wpg:grpSpPr>
                        <a:xfrm>
                          <a:off x="0" y="0"/>
                          <a:ext cx="1762760" cy="39370"/>
                          <a:chExt cx="1762760" cy="39370"/>
                        </a:xfrm>
                      </wpg:grpSpPr>
                      <wps:wsp>
                        <wps:cNvPr id="120" name="Graphic 120"/>
                        <wps:cNvSpPr/>
                        <wps:spPr>
                          <a:xfrm>
                            <a:off x="35369" y="10248"/>
                            <a:ext cx="1696720" cy="7620"/>
                          </a:xfrm>
                          <a:custGeom>
                            <a:avLst/>
                            <a:gdLst/>
                            <a:ahLst/>
                            <a:cxnLst/>
                            <a:rect l="l" t="t" r="r" b="b"/>
                            <a:pathLst>
                              <a:path w="1696720" h="7620">
                                <a:moveTo>
                                  <a:pt x="905243" y="0"/>
                                </a:moveTo>
                                <a:lnTo>
                                  <a:pt x="0" y="0"/>
                                </a:lnTo>
                                <a:lnTo>
                                  <a:pt x="0" y="7620"/>
                                </a:lnTo>
                                <a:lnTo>
                                  <a:pt x="905243" y="7620"/>
                                </a:lnTo>
                                <a:lnTo>
                                  <a:pt x="905243" y="0"/>
                                </a:lnTo>
                                <a:close/>
                              </a:path>
                              <a:path w="1696720" h="7620">
                                <a:moveTo>
                                  <a:pt x="1696212" y="0"/>
                                </a:moveTo>
                                <a:lnTo>
                                  <a:pt x="1039368" y="0"/>
                                </a:lnTo>
                                <a:lnTo>
                                  <a:pt x="1039368" y="7620"/>
                                </a:lnTo>
                                <a:lnTo>
                                  <a:pt x="1696212" y="7620"/>
                                </a:lnTo>
                                <a:lnTo>
                                  <a:pt x="1696212"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12700" y="12700"/>
                            <a:ext cx="1737360" cy="13970"/>
                          </a:xfrm>
                          <a:custGeom>
                            <a:avLst/>
                            <a:gdLst/>
                            <a:ahLst/>
                            <a:cxnLst/>
                            <a:rect l="l" t="t" r="r" b="b"/>
                            <a:pathLst>
                              <a:path w="1737360" h="13970">
                                <a:moveTo>
                                  <a:pt x="0" y="13347"/>
                                </a:moveTo>
                                <a:lnTo>
                                  <a:pt x="1737362" y="0"/>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5.234985pt;margin-top:12.800344pt;width:138.8pt;height:3.1pt;mso-position-horizontal-relative:page;mso-position-vertical-relative:paragraph;z-index:-17703424" id="docshapegroup91" coordorigin="8305,256" coordsize="2776,62">
                <v:shape style="position:absolute;left:8360;top:272;width:2672;height:12" id="docshape92" coordorigin="8360,272" coordsize="2672,12" path="m9786,272l8360,272,8360,284,9786,284,9786,272xm11032,272l9997,272,9997,284,11032,284,11032,272xe" filled="true" fillcolor="#000000" stroked="false">
                  <v:path arrowok="t"/>
                  <v:fill type="solid"/>
                </v:shape>
                <v:line style="position:absolute" from="8325,297" to="11061,276" stroked="true" strokeweight="2pt" strokecolor="#000000">
                  <v:stroke dashstyle="solid"/>
                </v:line>
                <w10:wrap type="none"/>
              </v:group>
            </w:pict>
          </mc:Fallback>
        </mc:AlternateContent>
      </w:r>
      <w:r>
        <w:rPr>
          <w:sz w:val="18"/>
        </w:rPr>
        <w:t>Quantidade</w:t>
      </w:r>
      <w:r>
        <w:rPr>
          <w:spacing w:val="-5"/>
          <w:sz w:val="18"/>
        </w:rPr>
        <w:t> </w:t>
      </w:r>
      <w:r>
        <w:rPr>
          <w:sz w:val="18"/>
        </w:rPr>
        <w:t>de</w:t>
      </w:r>
      <w:r>
        <w:rPr>
          <w:spacing w:val="-1"/>
          <w:sz w:val="18"/>
        </w:rPr>
        <w:t> </w:t>
      </w:r>
      <w:r>
        <w:rPr>
          <w:sz w:val="18"/>
        </w:rPr>
        <w:t>ações</w:t>
      </w:r>
      <w:r>
        <w:rPr>
          <w:spacing w:val="-2"/>
          <w:sz w:val="18"/>
        </w:rPr>
        <w:t> ordinárias</w:t>
      </w:r>
      <w:r>
        <w:rPr>
          <w:sz w:val="18"/>
        </w:rPr>
        <w:tab/>
      </w:r>
      <w:r>
        <w:rPr>
          <w:spacing w:val="-2"/>
          <w:sz w:val="18"/>
        </w:rPr>
        <w:t>2.461.720.916</w:t>
      </w:r>
      <w:r>
        <w:rPr>
          <w:rFonts w:ascii="Times New Roman" w:hAnsi="Times New Roman"/>
          <w:sz w:val="18"/>
        </w:rPr>
        <w:tab/>
      </w:r>
      <w:r>
        <w:rPr>
          <w:spacing w:val="-2"/>
          <w:sz w:val="18"/>
        </w:rPr>
        <w:t>2.497.051.443</w:t>
      </w:r>
    </w:p>
    <w:p>
      <w:pPr>
        <w:tabs>
          <w:tab w:pos="8541" w:val="left" w:leader="none"/>
          <w:tab w:pos="9953" w:val="left" w:leader="none"/>
        </w:tabs>
        <w:spacing w:before="203"/>
        <w:ind w:left="219" w:right="0" w:firstLine="0"/>
        <w:jc w:val="left"/>
        <w:rPr>
          <w:sz w:val="18"/>
        </w:rPr>
      </w:pPr>
      <w:r>
        <w:rPr/>
        <mc:AlternateContent>
          <mc:Choice Requires="wps">
            <w:drawing>
              <wp:anchor distT="0" distB="0" distL="0" distR="0" allowOverlap="1" layoutInCell="1" locked="0" behindDoc="1" simplePos="0" relativeHeight="487612928">
                <wp:simplePos x="0" y="0"/>
                <wp:positionH relativeFrom="page">
                  <wp:posOffset>5295138</wp:posOffset>
                </wp:positionH>
                <wp:positionV relativeFrom="paragraph">
                  <wp:posOffset>273511</wp:posOffset>
                </wp:positionV>
                <wp:extent cx="1710055" cy="3810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710055" cy="38100"/>
                        </a:xfrm>
                        <a:custGeom>
                          <a:avLst/>
                          <a:gdLst/>
                          <a:ahLst/>
                          <a:cxnLst/>
                          <a:rect l="l" t="t" r="r" b="b"/>
                          <a:pathLst>
                            <a:path w="1710055" h="38100">
                              <a:moveTo>
                                <a:pt x="1709915" y="0"/>
                              </a:moveTo>
                              <a:lnTo>
                                <a:pt x="918972" y="0"/>
                              </a:lnTo>
                              <a:lnTo>
                                <a:pt x="909828" y="0"/>
                              </a:lnTo>
                              <a:lnTo>
                                <a:pt x="0" y="0"/>
                              </a:lnTo>
                              <a:lnTo>
                                <a:pt x="0" y="38100"/>
                              </a:lnTo>
                              <a:lnTo>
                                <a:pt x="909828" y="38100"/>
                              </a:lnTo>
                              <a:lnTo>
                                <a:pt x="918972" y="38100"/>
                              </a:lnTo>
                              <a:lnTo>
                                <a:pt x="1709915" y="38100"/>
                              </a:lnTo>
                              <a:lnTo>
                                <a:pt x="1709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16.940033pt;margin-top:21.536318pt;width:134.65pt;height:3pt;mso-position-horizontal-relative:page;mso-position-vertical-relative:paragraph;z-index:-15703552;mso-wrap-distance-left:0;mso-wrap-distance-right:0" id="docshape93" coordorigin="8339,431" coordsize="2693,60" path="m11032,431l9786,431,9772,431,8339,431,8339,491,9772,491,9786,491,11032,491,11032,431xe" filled="true" fillcolor="#000000" stroked="false">
                <v:path arrowok="t"/>
                <v:fill type="solid"/>
                <w10:wrap type="topAndBottom"/>
              </v:shape>
            </w:pict>
          </mc:Fallback>
        </mc:AlternateContent>
      </w:r>
      <w:r>
        <w:rPr>
          <w:sz w:val="18"/>
        </w:rPr>
        <w:t>Lucro</w:t>
      </w:r>
      <w:r>
        <w:rPr>
          <w:spacing w:val="-6"/>
          <w:sz w:val="18"/>
        </w:rPr>
        <w:t> </w:t>
      </w:r>
      <w:r>
        <w:rPr>
          <w:sz w:val="18"/>
        </w:rPr>
        <w:t>líquido</w:t>
      </w:r>
      <w:r>
        <w:rPr>
          <w:spacing w:val="-3"/>
          <w:sz w:val="18"/>
        </w:rPr>
        <w:t> </w:t>
      </w:r>
      <w:r>
        <w:rPr>
          <w:sz w:val="18"/>
        </w:rPr>
        <w:t>básico</w:t>
      </w:r>
      <w:r>
        <w:rPr>
          <w:spacing w:val="-3"/>
          <w:sz w:val="18"/>
        </w:rPr>
        <w:t> </w:t>
      </w:r>
      <w:r>
        <w:rPr>
          <w:sz w:val="18"/>
        </w:rPr>
        <w:t>e</w:t>
      </w:r>
      <w:r>
        <w:rPr>
          <w:spacing w:val="-3"/>
          <w:sz w:val="18"/>
        </w:rPr>
        <w:t> </w:t>
      </w:r>
      <w:r>
        <w:rPr>
          <w:sz w:val="18"/>
        </w:rPr>
        <w:t>diluído</w:t>
      </w:r>
      <w:r>
        <w:rPr>
          <w:spacing w:val="-3"/>
          <w:sz w:val="18"/>
        </w:rPr>
        <w:t> </w:t>
      </w:r>
      <w:r>
        <w:rPr>
          <w:sz w:val="18"/>
        </w:rPr>
        <w:t>por</w:t>
      </w:r>
      <w:r>
        <w:rPr>
          <w:spacing w:val="-4"/>
          <w:sz w:val="18"/>
        </w:rPr>
        <w:t> </w:t>
      </w:r>
      <w:r>
        <w:rPr>
          <w:sz w:val="18"/>
        </w:rPr>
        <w:t>ação</w:t>
      </w:r>
      <w:r>
        <w:rPr>
          <w:spacing w:val="-3"/>
          <w:sz w:val="18"/>
        </w:rPr>
        <w:t> </w:t>
      </w:r>
      <w:r>
        <w:rPr>
          <w:sz w:val="18"/>
        </w:rPr>
        <w:t>ordinária</w:t>
      </w:r>
      <w:r>
        <w:rPr>
          <w:spacing w:val="-2"/>
          <w:sz w:val="18"/>
        </w:rPr>
        <w:t> </w:t>
      </w:r>
      <w:r>
        <w:rPr>
          <w:sz w:val="18"/>
        </w:rPr>
        <w:t>(R$</w:t>
      </w:r>
      <w:r>
        <w:rPr>
          <w:spacing w:val="-3"/>
          <w:sz w:val="18"/>
        </w:rPr>
        <w:t> </w:t>
      </w:r>
      <w:r>
        <w:rPr>
          <w:sz w:val="18"/>
        </w:rPr>
        <w:t>por</w:t>
      </w:r>
      <w:r>
        <w:rPr>
          <w:spacing w:val="-4"/>
          <w:sz w:val="18"/>
        </w:rPr>
        <w:t> </w:t>
      </w:r>
      <w:r>
        <w:rPr>
          <w:spacing w:val="-2"/>
          <w:sz w:val="18"/>
        </w:rPr>
        <w:t>ação)</w:t>
      </w:r>
      <w:r>
        <w:rPr>
          <w:sz w:val="18"/>
        </w:rPr>
        <w:tab/>
      </w:r>
      <w:r>
        <w:rPr>
          <w:spacing w:val="-2"/>
          <w:sz w:val="18"/>
        </w:rPr>
        <w:t>0,001</w:t>
      </w:r>
      <w:r>
        <w:rPr>
          <w:sz w:val="18"/>
        </w:rPr>
        <w:tab/>
      </w:r>
      <w:r>
        <w:rPr>
          <w:spacing w:val="-4"/>
          <w:sz w:val="18"/>
        </w:rPr>
        <w:t>0,03</w:t>
      </w:r>
    </w:p>
    <w:p>
      <w:pPr>
        <w:spacing w:after="0"/>
        <w:jc w:val="left"/>
        <w:rPr>
          <w:sz w:val="18"/>
        </w:rPr>
        <w:sectPr>
          <w:pgSz w:w="11910" w:h="16840"/>
          <w:pgMar w:header="637" w:footer="630" w:top="1800" w:bottom="820" w:left="700" w:right="480"/>
        </w:sectPr>
      </w:pPr>
    </w:p>
    <w:p>
      <w:pPr>
        <w:pStyle w:val="Heading3"/>
        <w:numPr>
          <w:ilvl w:val="0"/>
          <w:numId w:val="9"/>
        </w:numPr>
        <w:tabs>
          <w:tab w:pos="718" w:val="left" w:leader="none"/>
        </w:tabs>
        <w:spacing w:line="240" w:lineRule="auto" w:before="287" w:after="0"/>
        <w:ind w:left="718" w:right="0" w:hanging="568"/>
        <w:jc w:val="left"/>
      </w:pPr>
      <w:bookmarkStart w:name="_TOC_250004" w:id="21"/>
      <w:r>
        <w:rPr/>
        <w:t>Despesas</w:t>
      </w:r>
      <w:r>
        <w:rPr>
          <w:spacing w:val="-6"/>
        </w:rPr>
        <w:t> </w:t>
      </w:r>
      <w:r>
        <w:rPr/>
        <w:t>por</w:t>
      </w:r>
      <w:r>
        <w:rPr>
          <w:spacing w:val="-5"/>
        </w:rPr>
        <w:t> </w:t>
      </w:r>
      <w:bookmarkEnd w:id="21"/>
      <w:r>
        <w:rPr>
          <w:spacing w:val="-2"/>
        </w:rPr>
        <w:t>natureza</w:t>
      </w:r>
    </w:p>
    <w:p>
      <w:pPr>
        <w:pStyle w:val="BodyText"/>
        <w:spacing w:before="8"/>
        <w:rPr>
          <w:b/>
          <w:sz w:val="17"/>
        </w:rPr>
      </w:pPr>
      <w:r>
        <w:rPr/>
        <mc:AlternateContent>
          <mc:Choice Requires="wps">
            <w:drawing>
              <wp:anchor distT="0" distB="0" distL="0" distR="0" allowOverlap="1" layoutInCell="1" locked="0" behindDoc="1" simplePos="0" relativeHeight="487614464">
                <wp:simplePos x="0" y="0"/>
                <wp:positionH relativeFrom="page">
                  <wp:posOffset>5304282</wp:posOffset>
                </wp:positionH>
                <wp:positionV relativeFrom="paragraph">
                  <wp:posOffset>152665</wp:posOffset>
                </wp:positionV>
                <wp:extent cx="1709420" cy="6350"/>
                <wp:effectExtent l="0" t="0" r="0" b="0"/>
                <wp:wrapTopAndBottom/>
                <wp:docPr id="123" name="Graphic 123"/>
                <wp:cNvGraphicFramePr>
                  <a:graphicFrameLocks/>
                </wp:cNvGraphicFramePr>
                <a:graphic>
                  <a:graphicData uri="http://schemas.microsoft.com/office/word/2010/wordprocessingShape">
                    <wps:wsp>
                      <wps:cNvPr id="123" name="Graphic 123"/>
                      <wps:cNvSpPr/>
                      <wps:spPr>
                        <a:xfrm>
                          <a:off x="0" y="0"/>
                          <a:ext cx="1709420" cy="6350"/>
                        </a:xfrm>
                        <a:custGeom>
                          <a:avLst/>
                          <a:gdLst/>
                          <a:ahLst/>
                          <a:cxnLst/>
                          <a:rect l="l" t="t" r="r" b="b"/>
                          <a:pathLst>
                            <a:path w="1709420" h="6350">
                              <a:moveTo>
                                <a:pt x="1709165" y="0"/>
                              </a:moveTo>
                              <a:lnTo>
                                <a:pt x="0" y="0"/>
                              </a:lnTo>
                              <a:lnTo>
                                <a:pt x="0" y="6095"/>
                              </a:lnTo>
                              <a:lnTo>
                                <a:pt x="1709165" y="6095"/>
                              </a:lnTo>
                              <a:lnTo>
                                <a:pt x="17091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17.660004pt;margin-top:12.02088pt;width:134.580pt;height:.47998pt;mso-position-horizontal-relative:page;mso-position-vertical-relative:paragraph;z-index:-15702016;mso-wrap-distance-left:0;mso-wrap-distance-right:0" id="docshape94" filled="true" fillcolor="#000000" stroked="false">
                <v:fill type="solid"/>
                <w10:wrap type="topAndBottom"/>
              </v:rect>
            </w:pict>
          </mc:Fallback>
        </mc:AlternateContent>
      </w:r>
    </w:p>
    <w:p>
      <w:pPr>
        <w:tabs>
          <w:tab w:pos="955" w:val="left" w:leader="none"/>
          <w:tab w:pos="2380" w:val="left" w:leader="none"/>
        </w:tabs>
        <w:spacing w:before="42"/>
        <w:ind w:left="0" w:right="363" w:firstLine="0"/>
        <w:jc w:val="right"/>
        <w:rPr>
          <w:b/>
          <w:sz w:val="18"/>
        </w:rPr>
      </w:pPr>
      <w:r>
        <w:rPr>
          <w:rFonts w:ascii="Times New Roman"/>
          <w:sz w:val="18"/>
          <w:u w:val="thick"/>
        </w:rPr>
        <w:tab/>
      </w:r>
      <w:r>
        <w:rPr>
          <w:b/>
          <w:spacing w:val="-4"/>
          <w:sz w:val="18"/>
          <w:u w:val="thick"/>
        </w:rPr>
        <w:t>2022</w:t>
      </w:r>
      <w:r>
        <w:rPr>
          <w:b/>
          <w:sz w:val="18"/>
          <w:u w:val="thick"/>
        </w:rPr>
        <w:tab/>
      </w:r>
      <w:r>
        <w:rPr>
          <w:b/>
          <w:spacing w:val="-4"/>
          <w:sz w:val="18"/>
          <w:u w:val="thick"/>
        </w:rPr>
        <w:t>2021</w:t>
      </w:r>
    </w:p>
    <w:p>
      <w:pPr>
        <w:pStyle w:val="BodyText"/>
        <w:spacing w:before="11"/>
        <w:rPr>
          <w:b/>
          <w:sz w:val="6"/>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78"/>
        <w:gridCol w:w="1662"/>
        <w:gridCol w:w="1049"/>
        <w:gridCol w:w="25"/>
      </w:tblGrid>
      <w:tr>
        <w:trPr>
          <w:trHeight w:val="203" w:hRule="atLeast"/>
        </w:trPr>
        <w:tc>
          <w:tcPr>
            <w:tcW w:w="7478" w:type="dxa"/>
          </w:tcPr>
          <w:p>
            <w:pPr>
              <w:pStyle w:val="TableParagraph"/>
              <w:spacing w:line="183" w:lineRule="exact"/>
              <w:ind w:left="89"/>
              <w:rPr>
                <w:sz w:val="18"/>
              </w:rPr>
            </w:pPr>
            <w:r>
              <w:rPr>
                <w:sz w:val="18"/>
              </w:rPr>
              <w:t>Gastos</w:t>
            </w:r>
            <w:r>
              <w:rPr>
                <w:spacing w:val="-3"/>
                <w:sz w:val="18"/>
              </w:rPr>
              <w:t> </w:t>
            </w:r>
            <w:r>
              <w:rPr>
                <w:sz w:val="18"/>
              </w:rPr>
              <w:t>com</w:t>
            </w:r>
            <w:r>
              <w:rPr>
                <w:spacing w:val="-2"/>
                <w:sz w:val="18"/>
              </w:rPr>
              <w:t> </w:t>
            </w:r>
            <w:r>
              <w:rPr>
                <w:sz w:val="18"/>
              </w:rPr>
              <w:t>pessoal</w:t>
            </w:r>
            <w:r>
              <w:rPr>
                <w:spacing w:val="-3"/>
                <w:sz w:val="18"/>
              </w:rPr>
              <w:t> </w:t>
            </w:r>
            <w:r>
              <w:rPr>
                <w:sz w:val="18"/>
              </w:rPr>
              <w:t>cedido</w:t>
            </w:r>
            <w:r>
              <w:rPr>
                <w:spacing w:val="-2"/>
                <w:sz w:val="18"/>
              </w:rPr>
              <w:t> </w:t>
            </w:r>
            <w:r>
              <w:rPr>
                <w:spacing w:val="-5"/>
                <w:sz w:val="18"/>
              </w:rPr>
              <w:t>(i)</w:t>
            </w:r>
          </w:p>
        </w:tc>
        <w:tc>
          <w:tcPr>
            <w:tcW w:w="1662" w:type="dxa"/>
          </w:tcPr>
          <w:p>
            <w:pPr>
              <w:pStyle w:val="TableParagraph"/>
              <w:spacing w:line="183" w:lineRule="exact"/>
              <w:ind w:right="370"/>
              <w:jc w:val="right"/>
              <w:rPr>
                <w:sz w:val="18"/>
              </w:rPr>
            </w:pPr>
            <w:r>
              <w:rPr>
                <w:spacing w:val="-2"/>
                <w:sz w:val="18"/>
              </w:rPr>
              <w:t>(4.482)</w:t>
            </w:r>
          </w:p>
        </w:tc>
        <w:tc>
          <w:tcPr>
            <w:tcW w:w="1049" w:type="dxa"/>
          </w:tcPr>
          <w:p>
            <w:pPr>
              <w:pStyle w:val="TableParagraph"/>
              <w:spacing w:line="183" w:lineRule="exact"/>
              <w:ind w:right="65"/>
              <w:jc w:val="right"/>
              <w:rPr>
                <w:sz w:val="18"/>
              </w:rPr>
            </w:pPr>
            <w:r>
              <w:rPr>
                <w:spacing w:val="-2"/>
                <w:sz w:val="18"/>
              </w:rPr>
              <w:t>(15.421)</w:t>
            </w:r>
          </w:p>
        </w:tc>
        <w:tc>
          <w:tcPr>
            <w:tcW w:w="25" w:type="dxa"/>
            <w:vMerge w:val="restart"/>
            <w:tcBorders>
              <w:bottom w:val="single" w:sz="18" w:space="0" w:color="000000"/>
            </w:tcBorders>
          </w:tcPr>
          <w:p>
            <w:pPr>
              <w:pStyle w:val="TableParagraph"/>
              <w:rPr>
                <w:rFonts w:ascii="Times New Roman"/>
                <w:sz w:val="18"/>
              </w:rPr>
            </w:pPr>
          </w:p>
        </w:tc>
      </w:tr>
      <w:tr>
        <w:trPr>
          <w:trHeight w:val="225" w:hRule="atLeast"/>
        </w:trPr>
        <w:tc>
          <w:tcPr>
            <w:tcW w:w="7478" w:type="dxa"/>
          </w:tcPr>
          <w:p>
            <w:pPr>
              <w:pStyle w:val="TableParagraph"/>
              <w:spacing w:line="205" w:lineRule="exact"/>
              <w:ind w:left="89"/>
              <w:rPr>
                <w:sz w:val="18"/>
              </w:rPr>
            </w:pPr>
            <w:r>
              <w:rPr>
                <w:sz w:val="18"/>
              </w:rPr>
              <w:t>Reversão</w:t>
            </w:r>
            <w:r>
              <w:rPr>
                <w:spacing w:val="-3"/>
                <w:sz w:val="18"/>
              </w:rPr>
              <w:t> </w:t>
            </w:r>
            <w:r>
              <w:rPr>
                <w:sz w:val="18"/>
              </w:rPr>
              <w:t>(gastos)</w:t>
            </w:r>
            <w:r>
              <w:rPr>
                <w:spacing w:val="-2"/>
                <w:sz w:val="18"/>
              </w:rPr>
              <w:t> </w:t>
            </w:r>
            <w:r>
              <w:rPr>
                <w:sz w:val="18"/>
              </w:rPr>
              <w:t>com</w:t>
            </w:r>
            <w:r>
              <w:rPr>
                <w:spacing w:val="-3"/>
                <w:sz w:val="18"/>
              </w:rPr>
              <w:t> </w:t>
            </w:r>
            <w:r>
              <w:rPr>
                <w:sz w:val="18"/>
              </w:rPr>
              <w:t>planos</w:t>
            </w:r>
            <w:r>
              <w:rPr>
                <w:spacing w:val="-2"/>
                <w:sz w:val="18"/>
              </w:rPr>
              <w:t> </w:t>
            </w:r>
            <w:r>
              <w:rPr>
                <w:sz w:val="18"/>
              </w:rPr>
              <w:t>de</w:t>
            </w:r>
            <w:r>
              <w:rPr>
                <w:spacing w:val="-3"/>
                <w:sz w:val="18"/>
              </w:rPr>
              <w:t> </w:t>
            </w:r>
            <w:r>
              <w:rPr>
                <w:sz w:val="18"/>
              </w:rPr>
              <w:t>pensão</w:t>
            </w:r>
            <w:r>
              <w:rPr>
                <w:spacing w:val="-2"/>
                <w:sz w:val="18"/>
              </w:rPr>
              <w:t> </w:t>
            </w:r>
            <w:r>
              <w:rPr>
                <w:sz w:val="18"/>
              </w:rPr>
              <w:t>e</w:t>
            </w:r>
            <w:r>
              <w:rPr>
                <w:spacing w:val="-2"/>
                <w:sz w:val="18"/>
              </w:rPr>
              <w:t> </w:t>
            </w:r>
            <w:r>
              <w:rPr>
                <w:sz w:val="18"/>
              </w:rPr>
              <w:t>saúde</w:t>
            </w:r>
            <w:r>
              <w:rPr>
                <w:spacing w:val="-3"/>
                <w:sz w:val="18"/>
              </w:rPr>
              <w:t> </w:t>
            </w:r>
            <w:r>
              <w:rPr>
                <w:sz w:val="18"/>
              </w:rPr>
              <w:t>(nota</w:t>
            </w:r>
            <w:r>
              <w:rPr>
                <w:spacing w:val="-2"/>
                <w:sz w:val="18"/>
              </w:rPr>
              <w:t> 11.4)</w:t>
            </w:r>
          </w:p>
        </w:tc>
        <w:tc>
          <w:tcPr>
            <w:tcW w:w="1662" w:type="dxa"/>
          </w:tcPr>
          <w:p>
            <w:pPr>
              <w:pStyle w:val="TableParagraph"/>
              <w:spacing w:line="205" w:lineRule="exact"/>
              <w:ind w:right="370"/>
              <w:jc w:val="right"/>
              <w:rPr>
                <w:sz w:val="18"/>
              </w:rPr>
            </w:pPr>
            <w:r>
              <w:rPr>
                <w:spacing w:val="-2"/>
                <w:sz w:val="18"/>
              </w:rPr>
              <w:t>(4.250)</w:t>
            </w:r>
          </w:p>
        </w:tc>
        <w:tc>
          <w:tcPr>
            <w:tcW w:w="1049" w:type="dxa"/>
          </w:tcPr>
          <w:p>
            <w:pPr>
              <w:pStyle w:val="TableParagraph"/>
              <w:spacing w:line="205" w:lineRule="exact"/>
              <w:ind w:right="67"/>
              <w:jc w:val="right"/>
              <w:rPr>
                <w:sz w:val="18"/>
              </w:rPr>
            </w:pPr>
            <w:r>
              <w:rPr>
                <w:spacing w:val="-2"/>
                <w:sz w:val="18"/>
              </w:rPr>
              <w:t>92.942</w:t>
            </w:r>
          </w:p>
        </w:tc>
        <w:tc>
          <w:tcPr>
            <w:tcW w:w="25" w:type="dxa"/>
            <w:vMerge/>
            <w:tcBorders>
              <w:top w:val="nil"/>
              <w:bottom w:val="single" w:sz="18" w:space="0" w:color="000000"/>
            </w:tcBorders>
          </w:tcPr>
          <w:p>
            <w:pPr>
              <w:rPr>
                <w:sz w:val="2"/>
                <w:szCs w:val="2"/>
              </w:rPr>
            </w:pPr>
          </w:p>
        </w:tc>
      </w:tr>
      <w:tr>
        <w:trPr>
          <w:trHeight w:val="225" w:hRule="atLeast"/>
        </w:trPr>
        <w:tc>
          <w:tcPr>
            <w:tcW w:w="7478" w:type="dxa"/>
          </w:tcPr>
          <w:p>
            <w:pPr>
              <w:pStyle w:val="TableParagraph"/>
              <w:spacing w:line="205" w:lineRule="exact"/>
              <w:ind w:left="89"/>
              <w:rPr>
                <w:sz w:val="18"/>
              </w:rPr>
            </w:pPr>
            <w:r>
              <w:rPr>
                <w:spacing w:val="-2"/>
                <w:sz w:val="18"/>
              </w:rPr>
              <w:t>Materias</w:t>
            </w:r>
          </w:p>
        </w:tc>
        <w:tc>
          <w:tcPr>
            <w:tcW w:w="1662" w:type="dxa"/>
          </w:tcPr>
          <w:p>
            <w:pPr>
              <w:pStyle w:val="TableParagraph"/>
              <w:spacing w:line="205" w:lineRule="exact"/>
              <w:ind w:right="370"/>
              <w:jc w:val="right"/>
              <w:rPr>
                <w:sz w:val="18"/>
              </w:rPr>
            </w:pPr>
            <w:r>
              <w:rPr>
                <w:spacing w:val="-2"/>
                <w:sz w:val="18"/>
              </w:rPr>
              <w:t>(1.600)</w:t>
            </w:r>
          </w:p>
        </w:tc>
        <w:tc>
          <w:tcPr>
            <w:tcW w:w="1049" w:type="dxa"/>
          </w:tcPr>
          <w:p>
            <w:pPr>
              <w:pStyle w:val="TableParagraph"/>
              <w:spacing w:line="205" w:lineRule="exact"/>
              <w:ind w:right="65"/>
              <w:jc w:val="right"/>
              <w:rPr>
                <w:sz w:val="18"/>
              </w:rPr>
            </w:pPr>
            <w:r>
              <w:rPr>
                <w:spacing w:val="-2"/>
                <w:sz w:val="18"/>
              </w:rPr>
              <w:t>(1.894)</w:t>
            </w:r>
          </w:p>
        </w:tc>
        <w:tc>
          <w:tcPr>
            <w:tcW w:w="25" w:type="dxa"/>
            <w:vMerge/>
            <w:tcBorders>
              <w:top w:val="nil"/>
              <w:bottom w:val="single" w:sz="18" w:space="0" w:color="000000"/>
            </w:tcBorders>
          </w:tcPr>
          <w:p>
            <w:pPr>
              <w:rPr>
                <w:sz w:val="2"/>
                <w:szCs w:val="2"/>
              </w:rPr>
            </w:pPr>
          </w:p>
        </w:tc>
      </w:tr>
      <w:tr>
        <w:trPr>
          <w:trHeight w:val="225" w:hRule="atLeast"/>
        </w:trPr>
        <w:tc>
          <w:tcPr>
            <w:tcW w:w="7478" w:type="dxa"/>
          </w:tcPr>
          <w:p>
            <w:pPr>
              <w:pStyle w:val="TableParagraph"/>
              <w:spacing w:line="205" w:lineRule="exact"/>
              <w:ind w:left="89"/>
              <w:rPr>
                <w:sz w:val="18"/>
              </w:rPr>
            </w:pPr>
            <w:r>
              <w:rPr>
                <w:sz w:val="18"/>
              </w:rPr>
              <w:t>Serviços</w:t>
            </w:r>
            <w:r>
              <w:rPr>
                <w:spacing w:val="-4"/>
                <w:sz w:val="18"/>
              </w:rPr>
              <w:t> </w:t>
            </w:r>
            <w:r>
              <w:rPr>
                <w:sz w:val="18"/>
              </w:rPr>
              <w:t>contratados</w:t>
            </w:r>
            <w:r>
              <w:rPr>
                <w:spacing w:val="-3"/>
                <w:sz w:val="18"/>
              </w:rPr>
              <w:t> </w:t>
            </w:r>
            <w:r>
              <w:rPr>
                <w:spacing w:val="-4"/>
                <w:sz w:val="18"/>
              </w:rPr>
              <w:t>(ii)</w:t>
            </w:r>
          </w:p>
        </w:tc>
        <w:tc>
          <w:tcPr>
            <w:tcW w:w="1662" w:type="dxa"/>
          </w:tcPr>
          <w:p>
            <w:pPr>
              <w:pStyle w:val="TableParagraph"/>
              <w:spacing w:line="205" w:lineRule="exact"/>
              <w:ind w:right="370"/>
              <w:jc w:val="right"/>
              <w:rPr>
                <w:sz w:val="18"/>
              </w:rPr>
            </w:pPr>
            <w:r>
              <w:rPr>
                <w:spacing w:val="-2"/>
                <w:sz w:val="18"/>
              </w:rPr>
              <w:t>(14.222)</w:t>
            </w:r>
          </w:p>
        </w:tc>
        <w:tc>
          <w:tcPr>
            <w:tcW w:w="1049" w:type="dxa"/>
          </w:tcPr>
          <w:p>
            <w:pPr>
              <w:pStyle w:val="TableParagraph"/>
              <w:spacing w:line="205" w:lineRule="exact"/>
              <w:ind w:right="65"/>
              <w:jc w:val="right"/>
              <w:rPr>
                <w:sz w:val="18"/>
              </w:rPr>
            </w:pPr>
            <w:r>
              <w:rPr>
                <w:spacing w:val="-2"/>
                <w:sz w:val="18"/>
              </w:rPr>
              <w:t>(18.369)</w:t>
            </w:r>
          </w:p>
        </w:tc>
        <w:tc>
          <w:tcPr>
            <w:tcW w:w="25" w:type="dxa"/>
            <w:vMerge/>
            <w:tcBorders>
              <w:top w:val="nil"/>
              <w:bottom w:val="single" w:sz="18" w:space="0" w:color="000000"/>
            </w:tcBorders>
          </w:tcPr>
          <w:p>
            <w:pPr>
              <w:rPr>
                <w:sz w:val="2"/>
                <w:szCs w:val="2"/>
              </w:rPr>
            </w:pPr>
          </w:p>
        </w:tc>
      </w:tr>
      <w:tr>
        <w:trPr>
          <w:trHeight w:val="211" w:hRule="atLeast"/>
        </w:trPr>
        <w:tc>
          <w:tcPr>
            <w:tcW w:w="7478" w:type="dxa"/>
          </w:tcPr>
          <w:p>
            <w:pPr>
              <w:pStyle w:val="TableParagraph"/>
              <w:spacing w:line="192" w:lineRule="exact"/>
              <w:ind w:left="89"/>
              <w:rPr>
                <w:sz w:val="18"/>
              </w:rPr>
            </w:pPr>
            <w:r>
              <w:rPr>
                <w:sz w:val="18"/>
              </w:rPr>
              <w:t>Reversão</w:t>
            </w:r>
            <w:r>
              <w:rPr>
                <w:spacing w:val="-7"/>
                <w:sz w:val="18"/>
              </w:rPr>
              <w:t> </w:t>
            </w:r>
            <w:r>
              <w:rPr>
                <w:sz w:val="18"/>
              </w:rPr>
              <w:t>de</w:t>
            </w:r>
            <w:r>
              <w:rPr>
                <w:spacing w:val="-4"/>
                <w:sz w:val="18"/>
              </w:rPr>
              <w:t> </w:t>
            </w:r>
            <w:r>
              <w:rPr>
                <w:sz w:val="18"/>
              </w:rPr>
              <w:t>provisão</w:t>
            </w:r>
            <w:r>
              <w:rPr>
                <w:spacing w:val="-3"/>
                <w:sz w:val="18"/>
              </w:rPr>
              <w:t> </w:t>
            </w:r>
            <w:r>
              <w:rPr>
                <w:sz w:val="18"/>
              </w:rPr>
              <w:t>para</w:t>
            </w:r>
            <w:r>
              <w:rPr>
                <w:spacing w:val="-3"/>
                <w:sz w:val="18"/>
              </w:rPr>
              <w:t> </w:t>
            </w:r>
            <w:r>
              <w:rPr>
                <w:sz w:val="18"/>
              </w:rPr>
              <w:t>perda</w:t>
            </w:r>
            <w:r>
              <w:rPr>
                <w:spacing w:val="-5"/>
                <w:sz w:val="18"/>
              </w:rPr>
              <w:t> </w:t>
            </w:r>
            <w:r>
              <w:rPr>
                <w:sz w:val="18"/>
              </w:rPr>
              <w:t>na</w:t>
            </w:r>
            <w:r>
              <w:rPr>
                <w:spacing w:val="-3"/>
                <w:sz w:val="18"/>
              </w:rPr>
              <w:t> </w:t>
            </w:r>
            <w:r>
              <w:rPr>
                <w:sz w:val="18"/>
              </w:rPr>
              <w:t>recuperação</w:t>
            </w:r>
            <w:r>
              <w:rPr>
                <w:spacing w:val="-4"/>
                <w:sz w:val="18"/>
              </w:rPr>
              <w:t> </w:t>
            </w:r>
            <w:r>
              <w:rPr>
                <w:sz w:val="18"/>
              </w:rPr>
              <w:t>de</w:t>
            </w:r>
            <w:r>
              <w:rPr>
                <w:spacing w:val="-3"/>
                <w:sz w:val="18"/>
              </w:rPr>
              <w:t> </w:t>
            </w:r>
            <w:r>
              <w:rPr>
                <w:sz w:val="18"/>
              </w:rPr>
              <w:t>créditos</w:t>
            </w:r>
            <w:r>
              <w:rPr>
                <w:spacing w:val="-3"/>
                <w:sz w:val="18"/>
              </w:rPr>
              <w:t> </w:t>
            </w:r>
            <w:r>
              <w:rPr>
                <w:spacing w:val="-2"/>
                <w:sz w:val="18"/>
              </w:rPr>
              <w:t>tributários</w:t>
            </w:r>
          </w:p>
        </w:tc>
        <w:tc>
          <w:tcPr>
            <w:tcW w:w="1662" w:type="dxa"/>
          </w:tcPr>
          <w:p>
            <w:pPr>
              <w:pStyle w:val="TableParagraph"/>
              <w:spacing w:line="192" w:lineRule="exact"/>
              <w:ind w:right="368"/>
              <w:jc w:val="right"/>
              <w:rPr>
                <w:sz w:val="18"/>
              </w:rPr>
            </w:pPr>
            <w:r>
              <w:rPr>
                <w:spacing w:val="-10"/>
                <w:sz w:val="18"/>
              </w:rPr>
              <w:t>‐</w:t>
            </w:r>
          </w:p>
        </w:tc>
        <w:tc>
          <w:tcPr>
            <w:tcW w:w="1049" w:type="dxa"/>
          </w:tcPr>
          <w:p>
            <w:pPr>
              <w:pStyle w:val="TableParagraph"/>
              <w:spacing w:line="192" w:lineRule="exact"/>
              <w:ind w:right="67"/>
              <w:jc w:val="right"/>
              <w:rPr>
                <w:sz w:val="18"/>
              </w:rPr>
            </w:pPr>
            <w:r>
              <w:rPr>
                <w:spacing w:val="-2"/>
                <w:sz w:val="18"/>
              </w:rPr>
              <w:t>1.225</w:t>
            </w:r>
          </w:p>
        </w:tc>
        <w:tc>
          <w:tcPr>
            <w:tcW w:w="25" w:type="dxa"/>
            <w:vMerge/>
            <w:tcBorders>
              <w:top w:val="nil"/>
              <w:bottom w:val="single" w:sz="18" w:space="0" w:color="000000"/>
            </w:tcBorders>
          </w:tcPr>
          <w:p>
            <w:pPr>
              <w:rPr>
                <w:sz w:val="2"/>
                <w:szCs w:val="2"/>
              </w:rPr>
            </w:pPr>
          </w:p>
        </w:tc>
      </w:tr>
      <w:tr>
        <w:trPr>
          <w:trHeight w:val="197" w:hRule="atLeast"/>
        </w:trPr>
        <w:tc>
          <w:tcPr>
            <w:tcW w:w="7478" w:type="dxa"/>
          </w:tcPr>
          <w:p>
            <w:pPr>
              <w:pStyle w:val="TableParagraph"/>
              <w:spacing w:line="177" w:lineRule="exact"/>
              <w:ind w:left="89"/>
              <w:rPr>
                <w:sz w:val="18"/>
              </w:rPr>
            </w:pPr>
            <w:r>
              <w:rPr>
                <w:spacing w:val="-2"/>
                <w:sz w:val="18"/>
              </w:rPr>
              <w:t>Tributárias</w:t>
            </w:r>
          </w:p>
        </w:tc>
        <w:tc>
          <w:tcPr>
            <w:tcW w:w="1662" w:type="dxa"/>
          </w:tcPr>
          <w:p>
            <w:pPr>
              <w:pStyle w:val="TableParagraph"/>
              <w:spacing w:line="177" w:lineRule="exact"/>
              <w:ind w:right="370"/>
              <w:jc w:val="right"/>
              <w:rPr>
                <w:sz w:val="18"/>
              </w:rPr>
            </w:pPr>
            <w:r>
              <w:rPr>
                <w:spacing w:val="-2"/>
                <w:sz w:val="18"/>
              </w:rPr>
              <w:t>(1.399)</w:t>
            </w:r>
          </w:p>
        </w:tc>
        <w:tc>
          <w:tcPr>
            <w:tcW w:w="1049" w:type="dxa"/>
          </w:tcPr>
          <w:p>
            <w:pPr>
              <w:pStyle w:val="TableParagraph"/>
              <w:spacing w:line="177" w:lineRule="exact"/>
              <w:ind w:right="66"/>
              <w:jc w:val="right"/>
              <w:rPr>
                <w:sz w:val="18"/>
              </w:rPr>
            </w:pPr>
            <w:r>
              <w:rPr>
                <w:spacing w:val="-2"/>
                <w:sz w:val="18"/>
              </w:rPr>
              <w:t>(1.216)</w:t>
            </w:r>
          </w:p>
        </w:tc>
        <w:tc>
          <w:tcPr>
            <w:tcW w:w="25" w:type="dxa"/>
            <w:vMerge/>
            <w:tcBorders>
              <w:top w:val="nil"/>
              <w:bottom w:val="single" w:sz="18" w:space="0" w:color="000000"/>
            </w:tcBorders>
          </w:tcPr>
          <w:p>
            <w:pPr>
              <w:rPr>
                <w:sz w:val="2"/>
                <w:szCs w:val="2"/>
              </w:rPr>
            </w:pPr>
          </w:p>
        </w:tc>
      </w:tr>
      <w:tr>
        <w:trPr>
          <w:trHeight w:val="194" w:hRule="atLeast"/>
        </w:trPr>
        <w:tc>
          <w:tcPr>
            <w:tcW w:w="7478" w:type="dxa"/>
          </w:tcPr>
          <w:p>
            <w:pPr>
              <w:pStyle w:val="TableParagraph"/>
              <w:spacing w:line="175" w:lineRule="exact"/>
              <w:ind w:left="89"/>
              <w:rPr>
                <w:sz w:val="18"/>
              </w:rPr>
            </w:pPr>
            <w:r>
              <w:rPr>
                <w:sz w:val="18"/>
              </w:rPr>
              <w:t>Reversão</w:t>
            </w:r>
            <w:r>
              <w:rPr>
                <w:spacing w:val="-5"/>
                <w:sz w:val="18"/>
              </w:rPr>
              <w:t> </w:t>
            </w:r>
            <w:r>
              <w:rPr>
                <w:sz w:val="18"/>
              </w:rPr>
              <w:t>(perdas)</w:t>
            </w:r>
            <w:r>
              <w:rPr>
                <w:spacing w:val="-3"/>
                <w:sz w:val="18"/>
              </w:rPr>
              <w:t> </w:t>
            </w:r>
            <w:r>
              <w:rPr>
                <w:sz w:val="18"/>
              </w:rPr>
              <w:t>com</w:t>
            </w:r>
            <w:r>
              <w:rPr>
                <w:spacing w:val="-4"/>
                <w:sz w:val="18"/>
              </w:rPr>
              <w:t> </w:t>
            </w:r>
            <w:r>
              <w:rPr>
                <w:sz w:val="18"/>
              </w:rPr>
              <w:t>processos</w:t>
            </w:r>
            <w:r>
              <w:rPr>
                <w:spacing w:val="-3"/>
                <w:sz w:val="18"/>
              </w:rPr>
              <w:t> </w:t>
            </w:r>
            <w:r>
              <w:rPr>
                <w:spacing w:val="-2"/>
                <w:sz w:val="18"/>
              </w:rPr>
              <w:t>judiciais</w:t>
            </w:r>
          </w:p>
        </w:tc>
        <w:tc>
          <w:tcPr>
            <w:tcW w:w="1662" w:type="dxa"/>
          </w:tcPr>
          <w:p>
            <w:pPr>
              <w:pStyle w:val="TableParagraph"/>
              <w:spacing w:line="175" w:lineRule="exact"/>
              <w:ind w:right="372"/>
              <w:jc w:val="right"/>
              <w:rPr>
                <w:sz w:val="18"/>
              </w:rPr>
            </w:pPr>
            <w:r>
              <w:rPr>
                <w:spacing w:val="-5"/>
                <w:sz w:val="18"/>
              </w:rPr>
              <w:t>689</w:t>
            </w:r>
          </w:p>
        </w:tc>
        <w:tc>
          <w:tcPr>
            <w:tcW w:w="1049" w:type="dxa"/>
          </w:tcPr>
          <w:p>
            <w:pPr>
              <w:pStyle w:val="TableParagraph"/>
              <w:spacing w:line="175" w:lineRule="exact"/>
              <w:ind w:right="64"/>
              <w:jc w:val="right"/>
              <w:rPr>
                <w:sz w:val="18"/>
              </w:rPr>
            </w:pPr>
            <w:r>
              <w:rPr>
                <w:spacing w:val="-2"/>
                <w:sz w:val="18"/>
              </w:rPr>
              <w:t>(4.241)</w:t>
            </w:r>
          </w:p>
        </w:tc>
        <w:tc>
          <w:tcPr>
            <w:tcW w:w="25" w:type="dxa"/>
            <w:vMerge/>
            <w:tcBorders>
              <w:top w:val="nil"/>
              <w:bottom w:val="single" w:sz="18" w:space="0" w:color="000000"/>
            </w:tcBorders>
          </w:tcPr>
          <w:p>
            <w:pPr>
              <w:rPr>
                <w:sz w:val="2"/>
                <w:szCs w:val="2"/>
              </w:rPr>
            </w:pPr>
          </w:p>
        </w:tc>
      </w:tr>
      <w:tr>
        <w:trPr>
          <w:trHeight w:val="195" w:hRule="atLeast"/>
        </w:trPr>
        <w:tc>
          <w:tcPr>
            <w:tcW w:w="7478" w:type="dxa"/>
          </w:tcPr>
          <w:p>
            <w:pPr>
              <w:pStyle w:val="TableParagraph"/>
              <w:spacing w:line="175" w:lineRule="exact"/>
              <w:ind w:left="89"/>
              <w:rPr>
                <w:sz w:val="18"/>
              </w:rPr>
            </w:pPr>
            <w:r>
              <w:rPr>
                <w:sz w:val="18"/>
              </w:rPr>
              <w:t>Cessão</w:t>
            </w:r>
            <w:r>
              <w:rPr>
                <w:spacing w:val="-2"/>
                <w:sz w:val="18"/>
              </w:rPr>
              <w:t> </w:t>
            </w:r>
            <w:r>
              <w:rPr>
                <w:sz w:val="18"/>
              </w:rPr>
              <w:t>de</w:t>
            </w:r>
            <w:r>
              <w:rPr>
                <w:spacing w:val="-2"/>
                <w:sz w:val="18"/>
              </w:rPr>
              <w:t> </w:t>
            </w:r>
            <w:r>
              <w:rPr>
                <w:sz w:val="18"/>
              </w:rPr>
              <w:t>créditos</w:t>
            </w:r>
            <w:r>
              <w:rPr>
                <w:spacing w:val="-2"/>
                <w:sz w:val="18"/>
              </w:rPr>
              <w:t> (iii)</w:t>
            </w:r>
          </w:p>
        </w:tc>
        <w:tc>
          <w:tcPr>
            <w:tcW w:w="1662" w:type="dxa"/>
          </w:tcPr>
          <w:p>
            <w:pPr>
              <w:pStyle w:val="TableParagraph"/>
              <w:spacing w:line="175" w:lineRule="exact"/>
              <w:ind w:right="368"/>
              <w:jc w:val="right"/>
              <w:rPr>
                <w:sz w:val="18"/>
              </w:rPr>
            </w:pPr>
            <w:r>
              <w:rPr>
                <w:spacing w:val="-10"/>
                <w:sz w:val="18"/>
              </w:rPr>
              <w:t>‐</w:t>
            </w:r>
          </w:p>
        </w:tc>
        <w:tc>
          <w:tcPr>
            <w:tcW w:w="1049" w:type="dxa"/>
          </w:tcPr>
          <w:p>
            <w:pPr>
              <w:pStyle w:val="TableParagraph"/>
              <w:spacing w:line="175" w:lineRule="exact"/>
              <w:ind w:right="67"/>
              <w:jc w:val="right"/>
              <w:rPr>
                <w:sz w:val="18"/>
              </w:rPr>
            </w:pPr>
            <w:r>
              <w:rPr>
                <w:spacing w:val="-2"/>
                <w:sz w:val="18"/>
              </w:rPr>
              <w:t>9.511</w:t>
            </w:r>
          </w:p>
        </w:tc>
        <w:tc>
          <w:tcPr>
            <w:tcW w:w="25" w:type="dxa"/>
            <w:vMerge/>
            <w:tcBorders>
              <w:top w:val="nil"/>
              <w:bottom w:val="single" w:sz="18" w:space="0" w:color="000000"/>
            </w:tcBorders>
          </w:tcPr>
          <w:p>
            <w:pPr>
              <w:rPr>
                <w:sz w:val="2"/>
                <w:szCs w:val="2"/>
              </w:rPr>
            </w:pPr>
          </w:p>
        </w:tc>
      </w:tr>
      <w:tr>
        <w:trPr>
          <w:trHeight w:val="207" w:hRule="atLeast"/>
        </w:trPr>
        <w:tc>
          <w:tcPr>
            <w:tcW w:w="7478" w:type="dxa"/>
          </w:tcPr>
          <w:p>
            <w:pPr>
              <w:pStyle w:val="TableParagraph"/>
              <w:spacing w:line="188" w:lineRule="exact"/>
              <w:ind w:left="89"/>
              <w:rPr>
                <w:sz w:val="18"/>
              </w:rPr>
            </w:pPr>
            <w:r>
              <w:rPr>
                <w:sz w:val="18"/>
              </w:rPr>
              <w:t>Reversão</w:t>
            </w:r>
            <w:r>
              <w:rPr>
                <w:spacing w:val="-5"/>
                <w:sz w:val="18"/>
              </w:rPr>
              <w:t> </w:t>
            </w:r>
            <w:r>
              <w:rPr>
                <w:sz w:val="18"/>
              </w:rPr>
              <w:t>de</w:t>
            </w:r>
            <w:r>
              <w:rPr>
                <w:spacing w:val="-3"/>
                <w:sz w:val="18"/>
              </w:rPr>
              <w:t> </w:t>
            </w:r>
            <w:r>
              <w:rPr>
                <w:sz w:val="18"/>
              </w:rPr>
              <w:t>despesas</w:t>
            </w:r>
            <w:r>
              <w:rPr>
                <w:spacing w:val="-2"/>
                <w:sz w:val="18"/>
              </w:rPr>
              <w:t> </w:t>
            </w:r>
            <w:r>
              <w:rPr>
                <w:spacing w:val="-4"/>
                <w:sz w:val="18"/>
              </w:rPr>
              <w:t>(iv)</w:t>
            </w:r>
          </w:p>
        </w:tc>
        <w:tc>
          <w:tcPr>
            <w:tcW w:w="1662" w:type="dxa"/>
          </w:tcPr>
          <w:p>
            <w:pPr>
              <w:pStyle w:val="TableParagraph"/>
              <w:spacing w:line="188" w:lineRule="exact"/>
              <w:ind w:right="372"/>
              <w:jc w:val="right"/>
              <w:rPr>
                <w:sz w:val="18"/>
              </w:rPr>
            </w:pPr>
            <w:r>
              <w:rPr>
                <w:spacing w:val="-2"/>
                <w:sz w:val="18"/>
              </w:rPr>
              <w:t>1.951</w:t>
            </w:r>
          </w:p>
        </w:tc>
        <w:tc>
          <w:tcPr>
            <w:tcW w:w="1049" w:type="dxa"/>
          </w:tcPr>
          <w:p>
            <w:pPr>
              <w:pStyle w:val="TableParagraph"/>
              <w:spacing w:line="188" w:lineRule="exact"/>
              <w:ind w:right="67"/>
              <w:jc w:val="right"/>
              <w:rPr>
                <w:sz w:val="18"/>
              </w:rPr>
            </w:pPr>
            <w:r>
              <w:rPr>
                <w:spacing w:val="-10"/>
                <w:sz w:val="18"/>
              </w:rPr>
              <w:t>‐</w:t>
            </w:r>
          </w:p>
        </w:tc>
        <w:tc>
          <w:tcPr>
            <w:tcW w:w="25" w:type="dxa"/>
            <w:vMerge/>
            <w:tcBorders>
              <w:top w:val="nil"/>
              <w:bottom w:val="single" w:sz="18" w:space="0" w:color="000000"/>
            </w:tcBorders>
          </w:tcPr>
          <w:p>
            <w:pPr>
              <w:rPr>
                <w:sz w:val="2"/>
                <w:szCs w:val="2"/>
              </w:rPr>
            </w:pPr>
          </w:p>
        </w:tc>
      </w:tr>
      <w:tr>
        <w:trPr>
          <w:trHeight w:val="177" w:hRule="atLeast"/>
        </w:trPr>
        <w:tc>
          <w:tcPr>
            <w:tcW w:w="7478" w:type="dxa"/>
          </w:tcPr>
          <w:p>
            <w:pPr>
              <w:pStyle w:val="TableParagraph"/>
              <w:spacing w:line="158" w:lineRule="exact"/>
              <w:ind w:left="89"/>
              <w:rPr>
                <w:sz w:val="18"/>
              </w:rPr>
            </w:pPr>
            <w:r>
              <w:rPr>
                <w:sz w:val="18"/>
              </w:rPr>
              <w:t>Outras</w:t>
            </w:r>
            <w:r>
              <w:rPr>
                <w:spacing w:val="-5"/>
                <w:sz w:val="18"/>
              </w:rPr>
              <w:t> </w:t>
            </w:r>
            <w:r>
              <w:rPr>
                <w:spacing w:val="-2"/>
                <w:sz w:val="18"/>
              </w:rPr>
              <w:t>despesas</w:t>
            </w:r>
          </w:p>
        </w:tc>
        <w:tc>
          <w:tcPr>
            <w:tcW w:w="1662" w:type="dxa"/>
            <w:tcBorders>
              <w:bottom w:val="single" w:sz="18" w:space="0" w:color="000000"/>
            </w:tcBorders>
          </w:tcPr>
          <w:p>
            <w:pPr>
              <w:pStyle w:val="TableParagraph"/>
              <w:spacing w:line="144" w:lineRule="exact"/>
              <w:ind w:right="373"/>
              <w:jc w:val="right"/>
              <w:rPr>
                <w:sz w:val="18"/>
              </w:rPr>
            </w:pPr>
            <w:r>
              <w:rPr>
                <w:spacing w:val="-2"/>
                <w:sz w:val="18"/>
              </w:rPr>
              <w:t>(180)</w:t>
            </w:r>
          </w:p>
        </w:tc>
        <w:tc>
          <w:tcPr>
            <w:tcW w:w="1049" w:type="dxa"/>
            <w:tcBorders>
              <w:bottom w:val="single" w:sz="18" w:space="0" w:color="000000"/>
            </w:tcBorders>
          </w:tcPr>
          <w:p>
            <w:pPr>
              <w:pStyle w:val="TableParagraph"/>
              <w:spacing w:line="144" w:lineRule="exact"/>
              <w:ind w:right="-15"/>
              <w:jc w:val="right"/>
              <w:rPr>
                <w:sz w:val="18"/>
              </w:rPr>
            </w:pPr>
            <w:r>
              <w:rPr>
                <w:spacing w:val="-2"/>
                <w:sz w:val="18"/>
              </w:rPr>
              <w:t>(586)</w:t>
            </w:r>
          </w:p>
        </w:tc>
        <w:tc>
          <w:tcPr>
            <w:tcW w:w="25" w:type="dxa"/>
            <w:vMerge/>
            <w:tcBorders>
              <w:top w:val="nil"/>
              <w:bottom w:val="single" w:sz="18" w:space="0" w:color="000000"/>
            </w:tcBorders>
          </w:tcPr>
          <w:p>
            <w:pPr>
              <w:rPr>
                <w:sz w:val="2"/>
                <w:szCs w:val="2"/>
              </w:rPr>
            </w:pPr>
          </w:p>
        </w:tc>
      </w:tr>
      <w:tr>
        <w:trPr>
          <w:trHeight w:val="245" w:hRule="atLeast"/>
        </w:trPr>
        <w:tc>
          <w:tcPr>
            <w:tcW w:w="7478" w:type="dxa"/>
          </w:tcPr>
          <w:p>
            <w:pPr>
              <w:pStyle w:val="TableParagraph"/>
              <w:rPr>
                <w:rFonts w:ascii="Times New Roman"/>
                <w:sz w:val="16"/>
              </w:rPr>
            </w:pPr>
          </w:p>
        </w:tc>
        <w:tc>
          <w:tcPr>
            <w:tcW w:w="1662" w:type="dxa"/>
            <w:tcBorders>
              <w:top w:val="single" w:sz="18" w:space="0" w:color="000000"/>
              <w:bottom w:val="single" w:sz="24" w:space="0" w:color="000000"/>
            </w:tcBorders>
          </w:tcPr>
          <w:p>
            <w:pPr>
              <w:pStyle w:val="TableParagraph"/>
              <w:spacing w:line="210" w:lineRule="exact" w:before="29"/>
              <w:ind w:right="372"/>
              <w:jc w:val="right"/>
              <w:rPr>
                <w:b/>
                <w:sz w:val="18"/>
              </w:rPr>
            </w:pPr>
            <w:r>
              <w:rPr>
                <w:b/>
                <w:spacing w:val="-2"/>
                <w:sz w:val="18"/>
              </w:rPr>
              <w:t>(23.493)</w:t>
            </w:r>
          </w:p>
        </w:tc>
        <w:tc>
          <w:tcPr>
            <w:tcW w:w="1049" w:type="dxa"/>
            <w:tcBorders>
              <w:top w:val="single" w:sz="18" w:space="0" w:color="000000"/>
              <w:bottom w:val="single" w:sz="24" w:space="0" w:color="000000"/>
            </w:tcBorders>
          </w:tcPr>
          <w:p>
            <w:pPr>
              <w:pStyle w:val="TableParagraph"/>
              <w:spacing w:line="210" w:lineRule="exact" w:before="29"/>
              <w:ind w:right="67"/>
              <w:jc w:val="right"/>
              <w:rPr>
                <w:b/>
                <w:sz w:val="18"/>
              </w:rPr>
            </w:pPr>
            <w:r>
              <w:rPr>
                <w:b/>
                <w:spacing w:val="-2"/>
                <w:sz w:val="18"/>
              </w:rPr>
              <w:t>61.951</w:t>
            </w:r>
          </w:p>
        </w:tc>
        <w:tc>
          <w:tcPr>
            <w:tcW w:w="25" w:type="dxa"/>
            <w:tcBorders>
              <w:top w:val="single" w:sz="18" w:space="0" w:color="000000"/>
            </w:tcBorders>
          </w:tcPr>
          <w:p>
            <w:pPr>
              <w:pStyle w:val="TableParagraph"/>
              <w:rPr>
                <w:rFonts w:ascii="Times New Roman"/>
                <w:sz w:val="18"/>
              </w:rPr>
            </w:pPr>
          </w:p>
        </w:tc>
      </w:tr>
      <w:tr>
        <w:trPr>
          <w:trHeight w:val="260" w:hRule="atLeast"/>
        </w:trPr>
        <w:tc>
          <w:tcPr>
            <w:tcW w:w="7478" w:type="dxa"/>
          </w:tcPr>
          <w:p>
            <w:pPr>
              <w:pStyle w:val="TableParagraph"/>
              <w:spacing w:before="4"/>
              <w:ind w:left="50"/>
              <w:rPr>
                <w:b/>
                <w:sz w:val="18"/>
              </w:rPr>
            </w:pPr>
            <w:r>
              <w:rPr>
                <w:b/>
                <w:sz w:val="18"/>
              </w:rPr>
              <w:t>Na</w:t>
            </w:r>
            <w:r>
              <w:rPr>
                <w:b/>
                <w:spacing w:val="-3"/>
                <w:sz w:val="18"/>
              </w:rPr>
              <w:t> </w:t>
            </w:r>
            <w:r>
              <w:rPr>
                <w:b/>
                <w:sz w:val="18"/>
              </w:rPr>
              <w:t>Demonstração</w:t>
            </w:r>
            <w:r>
              <w:rPr>
                <w:b/>
                <w:spacing w:val="-1"/>
                <w:sz w:val="18"/>
              </w:rPr>
              <w:t> </w:t>
            </w:r>
            <w:r>
              <w:rPr>
                <w:b/>
                <w:sz w:val="18"/>
              </w:rPr>
              <w:t>do</w:t>
            </w:r>
            <w:r>
              <w:rPr>
                <w:b/>
                <w:spacing w:val="-1"/>
                <w:sz w:val="18"/>
              </w:rPr>
              <w:t> </w:t>
            </w:r>
            <w:r>
              <w:rPr>
                <w:b/>
                <w:spacing w:val="-2"/>
                <w:sz w:val="18"/>
              </w:rPr>
              <w:t>Resultado</w:t>
            </w:r>
          </w:p>
        </w:tc>
        <w:tc>
          <w:tcPr>
            <w:tcW w:w="1662" w:type="dxa"/>
            <w:tcBorders>
              <w:top w:val="single" w:sz="24" w:space="0" w:color="000000"/>
            </w:tcBorders>
          </w:tcPr>
          <w:p>
            <w:pPr>
              <w:pStyle w:val="TableParagraph"/>
              <w:rPr>
                <w:rFonts w:ascii="Times New Roman"/>
                <w:sz w:val="18"/>
              </w:rPr>
            </w:pPr>
          </w:p>
        </w:tc>
        <w:tc>
          <w:tcPr>
            <w:tcW w:w="1049" w:type="dxa"/>
            <w:tcBorders>
              <w:top w:val="single" w:sz="24" w:space="0" w:color="000000"/>
            </w:tcBorders>
          </w:tcPr>
          <w:p>
            <w:pPr>
              <w:pStyle w:val="TableParagraph"/>
              <w:rPr>
                <w:rFonts w:ascii="Times New Roman"/>
                <w:sz w:val="18"/>
              </w:rPr>
            </w:pPr>
          </w:p>
        </w:tc>
        <w:tc>
          <w:tcPr>
            <w:tcW w:w="25" w:type="dxa"/>
          </w:tcPr>
          <w:p>
            <w:pPr>
              <w:pStyle w:val="TableParagraph"/>
              <w:rPr>
                <w:rFonts w:ascii="Times New Roman"/>
                <w:sz w:val="18"/>
              </w:rPr>
            </w:pPr>
          </w:p>
        </w:tc>
      </w:tr>
      <w:tr>
        <w:trPr>
          <w:trHeight w:val="252" w:hRule="atLeast"/>
        </w:trPr>
        <w:tc>
          <w:tcPr>
            <w:tcW w:w="7478" w:type="dxa"/>
          </w:tcPr>
          <w:p>
            <w:pPr>
              <w:pStyle w:val="TableParagraph"/>
              <w:spacing w:before="4"/>
              <w:ind w:left="50"/>
              <w:rPr>
                <w:sz w:val="18"/>
              </w:rPr>
            </w:pPr>
            <w:r>
              <w:rPr>
                <w:sz w:val="18"/>
              </w:rPr>
              <w:t>Despesas</w:t>
            </w:r>
            <w:r>
              <w:rPr>
                <w:spacing w:val="-4"/>
                <w:sz w:val="18"/>
              </w:rPr>
              <w:t> </w:t>
            </w:r>
            <w:r>
              <w:rPr>
                <w:sz w:val="18"/>
              </w:rPr>
              <w:t>com</w:t>
            </w:r>
            <w:r>
              <w:rPr>
                <w:spacing w:val="-4"/>
                <w:sz w:val="18"/>
              </w:rPr>
              <w:t> </w:t>
            </w:r>
            <w:r>
              <w:rPr>
                <w:spacing w:val="-2"/>
                <w:sz w:val="18"/>
              </w:rPr>
              <w:t>vendas</w:t>
            </w:r>
          </w:p>
        </w:tc>
        <w:tc>
          <w:tcPr>
            <w:tcW w:w="1662" w:type="dxa"/>
          </w:tcPr>
          <w:p>
            <w:pPr>
              <w:pStyle w:val="TableParagraph"/>
              <w:spacing w:before="4"/>
              <w:ind w:right="368"/>
              <w:jc w:val="right"/>
              <w:rPr>
                <w:sz w:val="18"/>
              </w:rPr>
            </w:pPr>
            <w:r>
              <w:rPr>
                <w:spacing w:val="-10"/>
                <w:sz w:val="18"/>
              </w:rPr>
              <w:t>‐</w:t>
            </w:r>
          </w:p>
        </w:tc>
        <w:tc>
          <w:tcPr>
            <w:tcW w:w="1049" w:type="dxa"/>
          </w:tcPr>
          <w:p>
            <w:pPr>
              <w:pStyle w:val="TableParagraph"/>
              <w:spacing w:before="4"/>
              <w:ind w:right="67"/>
              <w:jc w:val="right"/>
              <w:rPr>
                <w:sz w:val="18"/>
              </w:rPr>
            </w:pPr>
            <w:r>
              <w:rPr>
                <w:spacing w:val="-5"/>
                <w:sz w:val="18"/>
              </w:rPr>
              <w:t>364</w:t>
            </w:r>
          </w:p>
        </w:tc>
        <w:tc>
          <w:tcPr>
            <w:tcW w:w="25" w:type="dxa"/>
          </w:tcPr>
          <w:p>
            <w:pPr>
              <w:pStyle w:val="TableParagraph"/>
              <w:rPr>
                <w:rFonts w:ascii="Times New Roman"/>
                <w:sz w:val="18"/>
              </w:rPr>
            </w:pPr>
          </w:p>
        </w:tc>
      </w:tr>
      <w:tr>
        <w:trPr>
          <w:trHeight w:val="241" w:hRule="atLeast"/>
        </w:trPr>
        <w:tc>
          <w:tcPr>
            <w:tcW w:w="7478" w:type="dxa"/>
          </w:tcPr>
          <w:p>
            <w:pPr>
              <w:pStyle w:val="TableParagraph"/>
              <w:spacing w:line="216" w:lineRule="exact"/>
              <w:ind w:left="50"/>
              <w:rPr>
                <w:sz w:val="18"/>
              </w:rPr>
            </w:pPr>
            <w:r>
              <w:rPr>
                <w:sz w:val="18"/>
              </w:rPr>
              <w:t>Despesas</w:t>
            </w:r>
            <w:r>
              <w:rPr>
                <w:spacing w:val="-3"/>
                <w:sz w:val="18"/>
              </w:rPr>
              <w:t> </w:t>
            </w:r>
            <w:r>
              <w:rPr>
                <w:sz w:val="18"/>
              </w:rPr>
              <w:t>gerais</w:t>
            </w:r>
            <w:r>
              <w:rPr>
                <w:spacing w:val="-5"/>
                <w:sz w:val="18"/>
              </w:rPr>
              <w:t> </w:t>
            </w:r>
            <w:r>
              <w:rPr>
                <w:sz w:val="18"/>
              </w:rPr>
              <w:t>e</w:t>
            </w:r>
            <w:r>
              <w:rPr>
                <w:spacing w:val="-3"/>
                <w:sz w:val="18"/>
              </w:rPr>
              <w:t> </w:t>
            </w:r>
            <w:r>
              <w:rPr>
                <w:spacing w:val="-2"/>
                <w:sz w:val="18"/>
              </w:rPr>
              <w:t>administrativas</w:t>
            </w:r>
          </w:p>
        </w:tc>
        <w:tc>
          <w:tcPr>
            <w:tcW w:w="1662" w:type="dxa"/>
          </w:tcPr>
          <w:p>
            <w:pPr>
              <w:pStyle w:val="TableParagraph"/>
              <w:spacing w:line="216" w:lineRule="exact"/>
              <w:ind w:right="373"/>
              <w:jc w:val="right"/>
              <w:rPr>
                <w:sz w:val="18"/>
              </w:rPr>
            </w:pPr>
            <w:r>
              <w:rPr>
                <w:spacing w:val="-2"/>
                <w:sz w:val="18"/>
              </w:rPr>
              <w:t>(318)</w:t>
            </w:r>
          </w:p>
        </w:tc>
        <w:tc>
          <w:tcPr>
            <w:tcW w:w="1049" w:type="dxa"/>
          </w:tcPr>
          <w:p>
            <w:pPr>
              <w:pStyle w:val="TableParagraph"/>
              <w:spacing w:line="216" w:lineRule="exact"/>
              <w:ind w:right="65"/>
              <w:jc w:val="right"/>
              <w:rPr>
                <w:sz w:val="18"/>
              </w:rPr>
            </w:pPr>
            <w:r>
              <w:rPr>
                <w:spacing w:val="-2"/>
                <w:sz w:val="18"/>
              </w:rPr>
              <w:t>(1.995)</w:t>
            </w:r>
          </w:p>
        </w:tc>
        <w:tc>
          <w:tcPr>
            <w:tcW w:w="25" w:type="dxa"/>
          </w:tcPr>
          <w:p>
            <w:pPr>
              <w:pStyle w:val="TableParagraph"/>
              <w:rPr>
                <w:rFonts w:ascii="Times New Roman"/>
                <w:sz w:val="16"/>
              </w:rPr>
            </w:pPr>
          </w:p>
        </w:tc>
      </w:tr>
      <w:tr>
        <w:trPr>
          <w:trHeight w:val="231" w:hRule="atLeast"/>
        </w:trPr>
        <w:tc>
          <w:tcPr>
            <w:tcW w:w="7478" w:type="dxa"/>
          </w:tcPr>
          <w:p>
            <w:pPr>
              <w:pStyle w:val="TableParagraph"/>
              <w:spacing w:line="212" w:lineRule="exact"/>
              <w:ind w:left="50"/>
              <w:rPr>
                <w:sz w:val="18"/>
              </w:rPr>
            </w:pPr>
            <w:r>
              <w:rPr>
                <w:spacing w:val="-2"/>
                <w:sz w:val="18"/>
              </w:rPr>
              <w:t>Tributárias</w:t>
            </w:r>
          </w:p>
        </w:tc>
        <w:tc>
          <w:tcPr>
            <w:tcW w:w="1662" w:type="dxa"/>
          </w:tcPr>
          <w:p>
            <w:pPr>
              <w:pStyle w:val="TableParagraph"/>
              <w:spacing w:line="212" w:lineRule="exact"/>
              <w:ind w:right="370"/>
              <w:jc w:val="right"/>
              <w:rPr>
                <w:sz w:val="18"/>
              </w:rPr>
            </w:pPr>
            <w:r>
              <w:rPr>
                <w:spacing w:val="-2"/>
                <w:sz w:val="18"/>
              </w:rPr>
              <w:t>(1.399)</w:t>
            </w:r>
          </w:p>
        </w:tc>
        <w:tc>
          <w:tcPr>
            <w:tcW w:w="1049" w:type="dxa"/>
          </w:tcPr>
          <w:p>
            <w:pPr>
              <w:pStyle w:val="TableParagraph"/>
              <w:spacing w:line="212" w:lineRule="exact"/>
              <w:ind w:right="65"/>
              <w:jc w:val="right"/>
              <w:rPr>
                <w:sz w:val="18"/>
              </w:rPr>
            </w:pPr>
            <w:r>
              <w:rPr>
                <w:spacing w:val="-2"/>
                <w:sz w:val="18"/>
              </w:rPr>
              <w:t>(1.216)</w:t>
            </w:r>
          </w:p>
        </w:tc>
        <w:tc>
          <w:tcPr>
            <w:tcW w:w="25" w:type="dxa"/>
          </w:tcPr>
          <w:p>
            <w:pPr>
              <w:pStyle w:val="TableParagraph"/>
              <w:rPr>
                <w:rFonts w:ascii="Times New Roman"/>
                <w:sz w:val="16"/>
              </w:rPr>
            </w:pPr>
          </w:p>
        </w:tc>
      </w:tr>
      <w:tr>
        <w:trPr>
          <w:trHeight w:val="239" w:hRule="atLeast"/>
        </w:trPr>
        <w:tc>
          <w:tcPr>
            <w:tcW w:w="7478" w:type="dxa"/>
          </w:tcPr>
          <w:p>
            <w:pPr>
              <w:pStyle w:val="TableParagraph"/>
              <w:spacing w:line="206" w:lineRule="exact"/>
              <w:ind w:left="50"/>
              <w:rPr>
                <w:sz w:val="18"/>
              </w:rPr>
            </w:pPr>
            <w:r>
              <w:rPr>
                <w:sz w:val="18"/>
              </w:rPr>
              <w:t>Reversão</w:t>
            </w:r>
            <w:r>
              <w:rPr>
                <w:spacing w:val="-4"/>
                <w:sz w:val="18"/>
              </w:rPr>
              <w:t> </w:t>
            </w:r>
            <w:r>
              <w:rPr>
                <w:sz w:val="18"/>
              </w:rPr>
              <w:t>para</w:t>
            </w:r>
            <w:r>
              <w:rPr>
                <w:spacing w:val="-3"/>
                <w:sz w:val="18"/>
              </w:rPr>
              <w:t> </w:t>
            </w:r>
            <w:r>
              <w:rPr>
                <w:sz w:val="18"/>
              </w:rPr>
              <w:t>perda</w:t>
            </w:r>
            <w:r>
              <w:rPr>
                <w:spacing w:val="-3"/>
                <w:sz w:val="18"/>
              </w:rPr>
              <w:t> </w:t>
            </w:r>
            <w:r>
              <w:rPr>
                <w:sz w:val="18"/>
              </w:rPr>
              <w:t>com</w:t>
            </w:r>
            <w:r>
              <w:rPr>
                <w:spacing w:val="-2"/>
                <w:sz w:val="18"/>
              </w:rPr>
              <w:t> impostos</w:t>
            </w:r>
          </w:p>
        </w:tc>
        <w:tc>
          <w:tcPr>
            <w:tcW w:w="1662" w:type="dxa"/>
          </w:tcPr>
          <w:p>
            <w:pPr>
              <w:pStyle w:val="TableParagraph"/>
              <w:spacing w:line="219" w:lineRule="exact"/>
              <w:ind w:right="368"/>
              <w:jc w:val="right"/>
              <w:rPr>
                <w:sz w:val="18"/>
              </w:rPr>
            </w:pPr>
            <w:r>
              <w:rPr>
                <w:spacing w:val="-10"/>
                <w:sz w:val="18"/>
              </w:rPr>
              <w:t>‐</w:t>
            </w:r>
          </w:p>
        </w:tc>
        <w:tc>
          <w:tcPr>
            <w:tcW w:w="1049" w:type="dxa"/>
          </w:tcPr>
          <w:p>
            <w:pPr>
              <w:pStyle w:val="TableParagraph"/>
              <w:spacing w:line="219" w:lineRule="exact"/>
              <w:ind w:right="67"/>
              <w:jc w:val="right"/>
              <w:rPr>
                <w:sz w:val="18"/>
              </w:rPr>
            </w:pPr>
            <w:r>
              <w:rPr>
                <w:spacing w:val="-2"/>
                <w:sz w:val="18"/>
              </w:rPr>
              <w:t>1.225</w:t>
            </w:r>
          </w:p>
        </w:tc>
        <w:tc>
          <w:tcPr>
            <w:tcW w:w="25" w:type="dxa"/>
          </w:tcPr>
          <w:p>
            <w:pPr>
              <w:pStyle w:val="TableParagraph"/>
              <w:rPr>
                <w:rFonts w:ascii="Times New Roman"/>
                <w:sz w:val="16"/>
              </w:rPr>
            </w:pPr>
          </w:p>
        </w:tc>
      </w:tr>
      <w:tr>
        <w:trPr>
          <w:trHeight w:val="247" w:hRule="atLeast"/>
        </w:trPr>
        <w:tc>
          <w:tcPr>
            <w:tcW w:w="7478" w:type="dxa"/>
          </w:tcPr>
          <w:p>
            <w:pPr>
              <w:pStyle w:val="TableParagraph"/>
              <w:spacing w:line="207" w:lineRule="exact"/>
              <w:ind w:left="50"/>
              <w:rPr>
                <w:sz w:val="18"/>
              </w:rPr>
            </w:pPr>
            <w:r>
              <w:rPr>
                <w:sz w:val="18"/>
              </w:rPr>
              <w:t>Efeito</w:t>
            </w:r>
            <w:r>
              <w:rPr>
                <w:spacing w:val="-5"/>
                <w:sz w:val="18"/>
              </w:rPr>
              <w:t> </w:t>
            </w:r>
            <w:r>
              <w:rPr>
                <w:sz w:val="18"/>
              </w:rPr>
              <w:t>líquido</w:t>
            </w:r>
            <w:r>
              <w:rPr>
                <w:spacing w:val="-3"/>
                <w:sz w:val="18"/>
              </w:rPr>
              <w:t> </w:t>
            </w:r>
            <w:r>
              <w:rPr>
                <w:sz w:val="18"/>
              </w:rPr>
              <w:t>de</w:t>
            </w:r>
            <w:r>
              <w:rPr>
                <w:spacing w:val="-3"/>
                <w:sz w:val="18"/>
              </w:rPr>
              <w:t> </w:t>
            </w:r>
            <w:r>
              <w:rPr>
                <w:sz w:val="18"/>
              </w:rPr>
              <w:t>liquidação</w:t>
            </w:r>
            <w:r>
              <w:rPr>
                <w:spacing w:val="-3"/>
                <w:sz w:val="18"/>
              </w:rPr>
              <w:t> </w:t>
            </w:r>
            <w:r>
              <w:rPr>
                <w:sz w:val="18"/>
              </w:rPr>
              <w:t>de</w:t>
            </w:r>
            <w:r>
              <w:rPr>
                <w:spacing w:val="-3"/>
                <w:sz w:val="18"/>
              </w:rPr>
              <w:t> </w:t>
            </w:r>
            <w:r>
              <w:rPr>
                <w:sz w:val="18"/>
              </w:rPr>
              <w:t>planos</w:t>
            </w:r>
            <w:r>
              <w:rPr>
                <w:spacing w:val="-3"/>
                <w:sz w:val="18"/>
              </w:rPr>
              <w:t> </w:t>
            </w:r>
            <w:r>
              <w:rPr>
                <w:sz w:val="18"/>
              </w:rPr>
              <w:t>de</w:t>
            </w:r>
            <w:r>
              <w:rPr>
                <w:spacing w:val="-4"/>
                <w:sz w:val="18"/>
              </w:rPr>
              <w:t> </w:t>
            </w:r>
            <w:r>
              <w:rPr>
                <w:sz w:val="18"/>
              </w:rPr>
              <w:t>pensão</w:t>
            </w:r>
            <w:r>
              <w:rPr>
                <w:spacing w:val="-4"/>
                <w:sz w:val="18"/>
              </w:rPr>
              <w:t> </w:t>
            </w:r>
            <w:r>
              <w:rPr>
                <w:sz w:val="18"/>
              </w:rPr>
              <w:t>e</w:t>
            </w:r>
            <w:r>
              <w:rPr>
                <w:spacing w:val="-2"/>
                <w:sz w:val="18"/>
              </w:rPr>
              <w:t> saúde</w:t>
            </w:r>
          </w:p>
        </w:tc>
        <w:tc>
          <w:tcPr>
            <w:tcW w:w="1662" w:type="dxa"/>
          </w:tcPr>
          <w:p>
            <w:pPr>
              <w:pStyle w:val="TableParagraph"/>
              <w:spacing w:line="219" w:lineRule="exact"/>
              <w:ind w:right="370"/>
              <w:jc w:val="right"/>
              <w:rPr>
                <w:sz w:val="18"/>
              </w:rPr>
            </w:pPr>
            <w:r>
              <w:rPr>
                <w:spacing w:val="-2"/>
                <w:sz w:val="18"/>
              </w:rPr>
              <w:t>(4.250)</w:t>
            </w:r>
          </w:p>
        </w:tc>
        <w:tc>
          <w:tcPr>
            <w:tcW w:w="1049" w:type="dxa"/>
          </w:tcPr>
          <w:p>
            <w:pPr>
              <w:pStyle w:val="TableParagraph"/>
              <w:spacing w:line="219" w:lineRule="exact"/>
              <w:ind w:right="67"/>
              <w:jc w:val="right"/>
              <w:rPr>
                <w:sz w:val="18"/>
              </w:rPr>
            </w:pPr>
            <w:r>
              <w:rPr>
                <w:spacing w:val="-2"/>
                <w:sz w:val="18"/>
              </w:rPr>
              <w:t>92.942</w:t>
            </w:r>
          </w:p>
        </w:tc>
        <w:tc>
          <w:tcPr>
            <w:tcW w:w="25" w:type="dxa"/>
          </w:tcPr>
          <w:p>
            <w:pPr>
              <w:pStyle w:val="TableParagraph"/>
              <w:rPr>
                <w:rFonts w:ascii="Times New Roman"/>
                <w:sz w:val="18"/>
              </w:rPr>
            </w:pPr>
          </w:p>
        </w:tc>
      </w:tr>
      <w:tr>
        <w:trPr>
          <w:trHeight w:val="189" w:hRule="atLeast"/>
        </w:trPr>
        <w:tc>
          <w:tcPr>
            <w:tcW w:w="7478" w:type="dxa"/>
          </w:tcPr>
          <w:p>
            <w:pPr>
              <w:pStyle w:val="TableParagraph"/>
              <w:spacing w:line="170" w:lineRule="exact"/>
              <w:ind w:left="50"/>
              <w:rPr>
                <w:sz w:val="18"/>
              </w:rPr>
            </w:pPr>
            <w:r>
              <w:rPr>
                <w:sz w:val="18"/>
              </w:rPr>
              <w:t>Outras</w:t>
            </w:r>
            <w:r>
              <w:rPr>
                <w:spacing w:val="-5"/>
                <w:sz w:val="18"/>
              </w:rPr>
              <w:t> </w:t>
            </w:r>
            <w:r>
              <w:rPr>
                <w:sz w:val="18"/>
              </w:rPr>
              <w:t>receitas</w:t>
            </w:r>
            <w:r>
              <w:rPr>
                <w:spacing w:val="-5"/>
                <w:sz w:val="18"/>
              </w:rPr>
              <w:t> </w:t>
            </w:r>
            <w:r>
              <w:rPr>
                <w:sz w:val="18"/>
              </w:rPr>
              <w:t>(despesas)</w:t>
            </w:r>
            <w:r>
              <w:rPr>
                <w:spacing w:val="-4"/>
                <w:sz w:val="18"/>
              </w:rPr>
              <w:t> </w:t>
            </w:r>
            <w:r>
              <w:rPr>
                <w:spacing w:val="-2"/>
                <w:sz w:val="18"/>
              </w:rPr>
              <w:t>líquidas</w:t>
            </w:r>
          </w:p>
        </w:tc>
        <w:tc>
          <w:tcPr>
            <w:tcW w:w="1662" w:type="dxa"/>
            <w:tcBorders>
              <w:bottom w:val="single" w:sz="18" w:space="0" w:color="000000"/>
            </w:tcBorders>
          </w:tcPr>
          <w:p>
            <w:pPr>
              <w:pStyle w:val="TableParagraph"/>
              <w:spacing w:line="153" w:lineRule="exact"/>
              <w:ind w:right="370"/>
              <w:jc w:val="right"/>
              <w:rPr>
                <w:sz w:val="18"/>
              </w:rPr>
            </w:pPr>
            <w:r>
              <w:rPr>
                <w:spacing w:val="-2"/>
                <w:sz w:val="18"/>
              </w:rPr>
              <w:t>(17.526)</w:t>
            </w:r>
          </w:p>
        </w:tc>
        <w:tc>
          <w:tcPr>
            <w:tcW w:w="1049" w:type="dxa"/>
            <w:tcBorders>
              <w:bottom w:val="single" w:sz="18" w:space="0" w:color="000000"/>
            </w:tcBorders>
          </w:tcPr>
          <w:p>
            <w:pPr>
              <w:pStyle w:val="TableParagraph"/>
              <w:spacing w:line="153" w:lineRule="exact"/>
              <w:ind w:right="-15"/>
              <w:jc w:val="right"/>
              <w:rPr>
                <w:sz w:val="18"/>
              </w:rPr>
            </w:pPr>
            <w:r>
              <w:rPr>
                <w:spacing w:val="-2"/>
                <w:sz w:val="18"/>
              </w:rPr>
              <w:t>(29.369)</w:t>
            </w:r>
          </w:p>
        </w:tc>
        <w:tc>
          <w:tcPr>
            <w:tcW w:w="25" w:type="dxa"/>
            <w:tcBorders>
              <w:bottom w:val="single" w:sz="18" w:space="0" w:color="000000"/>
            </w:tcBorders>
          </w:tcPr>
          <w:p>
            <w:pPr>
              <w:pStyle w:val="TableParagraph"/>
              <w:rPr>
                <w:rFonts w:ascii="Times New Roman"/>
                <w:sz w:val="10"/>
              </w:rPr>
            </w:pPr>
          </w:p>
        </w:tc>
      </w:tr>
      <w:tr>
        <w:trPr>
          <w:trHeight w:val="242" w:hRule="atLeast"/>
        </w:trPr>
        <w:tc>
          <w:tcPr>
            <w:tcW w:w="7478" w:type="dxa"/>
          </w:tcPr>
          <w:p>
            <w:pPr>
              <w:pStyle w:val="TableParagraph"/>
              <w:rPr>
                <w:rFonts w:ascii="Times New Roman"/>
                <w:sz w:val="16"/>
              </w:rPr>
            </w:pPr>
          </w:p>
        </w:tc>
        <w:tc>
          <w:tcPr>
            <w:tcW w:w="1662" w:type="dxa"/>
            <w:tcBorders>
              <w:top w:val="single" w:sz="18" w:space="0" w:color="000000"/>
              <w:bottom w:val="single" w:sz="24" w:space="0" w:color="000000"/>
            </w:tcBorders>
          </w:tcPr>
          <w:p>
            <w:pPr>
              <w:pStyle w:val="TableParagraph"/>
              <w:spacing w:line="211" w:lineRule="exact" w:before="27"/>
              <w:ind w:right="372"/>
              <w:jc w:val="right"/>
              <w:rPr>
                <w:b/>
                <w:sz w:val="18"/>
              </w:rPr>
            </w:pPr>
            <w:r>
              <w:rPr>
                <w:b/>
                <w:spacing w:val="-2"/>
                <w:sz w:val="18"/>
              </w:rPr>
              <w:t>(23.493)</w:t>
            </w:r>
          </w:p>
        </w:tc>
        <w:tc>
          <w:tcPr>
            <w:tcW w:w="1049" w:type="dxa"/>
            <w:tcBorders>
              <w:top w:val="single" w:sz="18" w:space="0" w:color="000000"/>
              <w:bottom w:val="single" w:sz="24" w:space="0" w:color="000000"/>
            </w:tcBorders>
          </w:tcPr>
          <w:p>
            <w:pPr>
              <w:pStyle w:val="TableParagraph"/>
              <w:spacing w:line="211" w:lineRule="exact" w:before="27"/>
              <w:ind w:right="67"/>
              <w:jc w:val="right"/>
              <w:rPr>
                <w:b/>
                <w:sz w:val="18"/>
              </w:rPr>
            </w:pPr>
            <w:r>
              <w:rPr>
                <w:b/>
                <w:spacing w:val="-2"/>
                <w:sz w:val="18"/>
              </w:rPr>
              <w:t>61.951</w:t>
            </w:r>
          </w:p>
        </w:tc>
        <w:tc>
          <w:tcPr>
            <w:tcW w:w="25" w:type="dxa"/>
            <w:tcBorders>
              <w:top w:val="single" w:sz="18" w:space="0" w:color="000000"/>
            </w:tcBorders>
          </w:tcPr>
          <w:p>
            <w:pPr>
              <w:pStyle w:val="TableParagraph"/>
              <w:rPr>
                <w:rFonts w:ascii="Times New Roman"/>
                <w:sz w:val="18"/>
              </w:rPr>
            </w:pPr>
          </w:p>
        </w:tc>
      </w:tr>
    </w:tbl>
    <w:p>
      <w:pPr>
        <w:pStyle w:val="BodyText"/>
        <w:spacing w:before="70"/>
        <w:rPr>
          <w:b/>
          <w:sz w:val="20"/>
        </w:rPr>
      </w:pPr>
    </w:p>
    <w:p>
      <w:pPr>
        <w:pStyle w:val="ListParagraph"/>
        <w:numPr>
          <w:ilvl w:val="0"/>
          <w:numId w:val="13"/>
        </w:numPr>
        <w:tabs>
          <w:tab w:pos="1231" w:val="left" w:leader="none"/>
        </w:tabs>
        <w:spacing w:line="240" w:lineRule="auto" w:before="0" w:after="0"/>
        <w:ind w:left="1231" w:right="0" w:hanging="721"/>
        <w:jc w:val="left"/>
        <w:rPr>
          <w:sz w:val="20"/>
        </w:rPr>
      </w:pPr>
      <w:r>
        <w:rPr>
          <w:sz w:val="20"/>
        </w:rPr>
        <w:t>A</w:t>
      </w:r>
      <w:r>
        <w:rPr>
          <w:spacing w:val="-3"/>
          <w:sz w:val="20"/>
        </w:rPr>
        <w:t> </w:t>
      </w:r>
      <w:r>
        <w:rPr>
          <w:sz w:val="20"/>
        </w:rPr>
        <w:t>redução</w:t>
      </w:r>
      <w:r>
        <w:rPr>
          <w:spacing w:val="-2"/>
          <w:sz w:val="20"/>
        </w:rPr>
        <w:t> </w:t>
      </w:r>
      <w:r>
        <w:rPr>
          <w:sz w:val="20"/>
        </w:rPr>
        <w:t>deve‐se</w:t>
      </w:r>
      <w:r>
        <w:rPr>
          <w:spacing w:val="-2"/>
          <w:sz w:val="20"/>
        </w:rPr>
        <w:t> </w:t>
      </w:r>
      <w:r>
        <w:rPr>
          <w:sz w:val="20"/>
        </w:rPr>
        <w:t>à</w:t>
      </w:r>
      <w:r>
        <w:rPr>
          <w:spacing w:val="-3"/>
          <w:sz w:val="20"/>
        </w:rPr>
        <w:t> </w:t>
      </w:r>
      <w:r>
        <w:rPr>
          <w:sz w:val="20"/>
        </w:rPr>
        <w:t>hibernação</w:t>
      </w:r>
      <w:r>
        <w:rPr>
          <w:spacing w:val="-4"/>
          <w:sz w:val="20"/>
        </w:rPr>
        <w:t> </w:t>
      </w:r>
      <w:r>
        <w:rPr>
          <w:sz w:val="20"/>
        </w:rPr>
        <w:t>da</w:t>
      </w:r>
      <w:r>
        <w:rPr>
          <w:spacing w:val="-3"/>
          <w:sz w:val="20"/>
        </w:rPr>
        <w:t> </w:t>
      </w:r>
      <w:r>
        <w:rPr>
          <w:sz w:val="20"/>
        </w:rPr>
        <w:t>planta</w:t>
      </w:r>
      <w:r>
        <w:rPr>
          <w:spacing w:val="-5"/>
          <w:sz w:val="20"/>
        </w:rPr>
        <w:t> </w:t>
      </w:r>
      <w:r>
        <w:rPr>
          <w:spacing w:val="-2"/>
          <w:sz w:val="20"/>
        </w:rPr>
        <w:t>industrial.</w:t>
      </w:r>
    </w:p>
    <w:p>
      <w:pPr>
        <w:pStyle w:val="BodyText"/>
        <w:spacing w:before="6"/>
        <w:rPr>
          <w:sz w:val="20"/>
        </w:rPr>
      </w:pPr>
    </w:p>
    <w:p>
      <w:pPr>
        <w:pStyle w:val="ListParagraph"/>
        <w:numPr>
          <w:ilvl w:val="0"/>
          <w:numId w:val="13"/>
        </w:numPr>
        <w:tabs>
          <w:tab w:pos="1230" w:val="left" w:leader="none"/>
          <w:tab w:pos="1232" w:val="left" w:leader="none"/>
        </w:tabs>
        <w:spacing w:line="230" w:lineRule="auto" w:before="1" w:after="0"/>
        <w:ind w:left="1232" w:right="361" w:hanging="722"/>
        <w:jc w:val="both"/>
        <w:rPr>
          <w:sz w:val="22"/>
        </w:rPr>
      </w:pPr>
      <w:r>
        <w:rPr>
          <w:sz w:val="20"/>
        </w:rPr>
        <w:t>Redução devido aos menores gastos com conservação e manutenção da planta industrial, em função da </w:t>
      </w:r>
      <w:r>
        <w:rPr>
          <w:spacing w:val="-2"/>
          <w:sz w:val="20"/>
        </w:rPr>
        <w:t>hibernação.</w:t>
      </w:r>
    </w:p>
    <w:p>
      <w:pPr>
        <w:pStyle w:val="BodyText"/>
        <w:spacing w:before="1"/>
        <w:rPr>
          <w:sz w:val="20"/>
        </w:rPr>
      </w:pPr>
    </w:p>
    <w:p>
      <w:pPr>
        <w:pStyle w:val="ListParagraph"/>
        <w:numPr>
          <w:ilvl w:val="0"/>
          <w:numId w:val="13"/>
        </w:numPr>
        <w:tabs>
          <w:tab w:pos="1227" w:val="left" w:leader="none"/>
          <w:tab w:pos="1231" w:val="left" w:leader="none"/>
        </w:tabs>
        <w:spacing w:line="235" w:lineRule="auto" w:before="0" w:after="0"/>
        <w:ind w:left="1231" w:right="362" w:hanging="722"/>
        <w:jc w:val="both"/>
        <w:rPr>
          <w:sz w:val="22"/>
        </w:rPr>
      </w:pPr>
      <w:r>
        <w:rPr>
          <w:sz w:val="20"/>
        </w:rPr>
        <w:t>Refere‐se,</w:t>
      </w:r>
      <w:r>
        <w:rPr>
          <w:spacing w:val="-1"/>
          <w:sz w:val="20"/>
        </w:rPr>
        <w:t> </w:t>
      </w:r>
      <w:r>
        <w:rPr>
          <w:sz w:val="20"/>
        </w:rPr>
        <w:t>substancialmente</w:t>
      </w:r>
      <w:r>
        <w:rPr>
          <w:spacing w:val="-4"/>
          <w:sz w:val="20"/>
        </w:rPr>
        <w:t> </w:t>
      </w:r>
      <w:r>
        <w:rPr>
          <w:sz w:val="20"/>
        </w:rPr>
        <w:t>(R$</w:t>
      </w:r>
      <w:r>
        <w:rPr>
          <w:spacing w:val="-1"/>
          <w:sz w:val="20"/>
        </w:rPr>
        <w:t> </w:t>
      </w:r>
      <w:r>
        <w:rPr>
          <w:sz w:val="20"/>
        </w:rPr>
        <w:t>7.705),</w:t>
      </w:r>
      <w:r>
        <w:rPr>
          <w:spacing w:val="-1"/>
          <w:sz w:val="20"/>
        </w:rPr>
        <w:t> </w:t>
      </w:r>
      <w:r>
        <w:rPr>
          <w:sz w:val="20"/>
        </w:rPr>
        <w:t>a</w:t>
      </w:r>
      <w:r>
        <w:rPr>
          <w:spacing w:val="-2"/>
          <w:sz w:val="20"/>
        </w:rPr>
        <w:t> </w:t>
      </w:r>
      <w:r>
        <w:rPr>
          <w:sz w:val="20"/>
        </w:rPr>
        <w:t>cessão à</w:t>
      </w:r>
      <w:r>
        <w:rPr>
          <w:spacing w:val="-1"/>
          <w:sz w:val="20"/>
        </w:rPr>
        <w:t> </w:t>
      </w:r>
      <w:r>
        <w:rPr>
          <w:sz w:val="20"/>
        </w:rPr>
        <w:t>Petrobras,</w:t>
      </w:r>
      <w:r>
        <w:rPr>
          <w:spacing w:val="-1"/>
          <w:sz w:val="20"/>
        </w:rPr>
        <w:t> </w:t>
      </w:r>
      <w:r>
        <w:rPr>
          <w:sz w:val="20"/>
        </w:rPr>
        <w:t>no</w:t>
      </w:r>
      <w:r>
        <w:rPr>
          <w:spacing w:val="-1"/>
          <w:sz w:val="20"/>
        </w:rPr>
        <w:t> </w:t>
      </w:r>
      <w:r>
        <w:rPr>
          <w:sz w:val="20"/>
        </w:rPr>
        <w:t>primeiro trimestre</w:t>
      </w:r>
      <w:r>
        <w:rPr>
          <w:spacing w:val="-2"/>
          <w:sz w:val="20"/>
        </w:rPr>
        <w:t> </w:t>
      </w:r>
      <w:r>
        <w:rPr>
          <w:sz w:val="20"/>
        </w:rPr>
        <w:t>de</w:t>
      </w:r>
      <w:r>
        <w:rPr>
          <w:spacing w:val="-3"/>
          <w:sz w:val="20"/>
        </w:rPr>
        <w:t> </w:t>
      </w:r>
      <w:r>
        <w:rPr>
          <w:sz w:val="20"/>
        </w:rPr>
        <w:t>2021,</w:t>
      </w:r>
      <w:r>
        <w:rPr>
          <w:spacing w:val="-1"/>
          <w:sz w:val="20"/>
        </w:rPr>
        <w:t> </w:t>
      </w:r>
      <w:r>
        <w:rPr>
          <w:sz w:val="20"/>
        </w:rPr>
        <w:t>de</w:t>
      </w:r>
      <w:r>
        <w:rPr>
          <w:spacing w:val="-1"/>
          <w:sz w:val="20"/>
        </w:rPr>
        <w:t> </w:t>
      </w:r>
      <w:r>
        <w:rPr>
          <w:sz w:val="20"/>
        </w:rPr>
        <w:t>créditos junto</w:t>
      </w:r>
      <w:r>
        <w:rPr>
          <w:spacing w:val="-1"/>
          <w:sz w:val="20"/>
        </w:rPr>
        <w:t> </w:t>
      </w:r>
      <w:r>
        <w:rPr>
          <w:sz w:val="20"/>
        </w:rPr>
        <w:t>à Câmara</w:t>
      </w:r>
      <w:r>
        <w:rPr>
          <w:spacing w:val="-7"/>
          <w:sz w:val="20"/>
        </w:rPr>
        <w:t> </w:t>
      </w:r>
      <w:r>
        <w:rPr>
          <w:sz w:val="20"/>
        </w:rPr>
        <w:t>Comercializadora</w:t>
      </w:r>
      <w:r>
        <w:rPr>
          <w:spacing w:val="-6"/>
          <w:sz w:val="20"/>
        </w:rPr>
        <w:t> </w:t>
      </w:r>
      <w:r>
        <w:rPr>
          <w:sz w:val="20"/>
        </w:rPr>
        <w:t>de</w:t>
      </w:r>
      <w:r>
        <w:rPr>
          <w:spacing w:val="-9"/>
          <w:sz w:val="20"/>
        </w:rPr>
        <w:t> </w:t>
      </w:r>
      <w:r>
        <w:rPr>
          <w:sz w:val="20"/>
        </w:rPr>
        <w:t>Energia</w:t>
      </w:r>
      <w:r>
        <w:rPr>
          <w:spacing w:val="-7"/>
          <w:sz w:val="20"/>
        </w:rPr>
        <w:t> </w:t>
      </w:r>
      <w:r>
        <w:rPr>
          <w:sz w:val="20"/>
        </w:rPr>
        <w:t>Elétrica</w:t>
      </w:r>
      <w:r>
        <w:rPr>
          <w:spacing w:val="-5"/>
          <w:sz w:val="20"/>
        </w:rPr>
        <w:t> </w:t>
      </w:r>
      <w:r>
        <w:rPr>
          <w:sz w:val="20"/>
        </w:rPr>
        <w:t>‐</w:t>
      </w:r>
      <w:r>
        <w:rPr>
          <w:spacing w:val="-7"/>
          <w:sz w:val="20"/>
        </w:rPr>
        <w:t> </w:t>
      </w:r>
      <w:r>
        <w:rPr>
          <w:sz w:val="20"/>
        </w:rPr>
        <w:t>CCEE,</w:t>
      </w:r>
      <w:r>
        <w:rPr>
          <w:spacing w:val="-6"/>
          <w:sz w:val="20"/>
        </w:rPr>
        <w:t> </w:t>
      </w:r>
      <w:r>
        <w:rPr>
          <w:sz w:val="20"/>
        </w:rPr>
        <w:t>em</w:t>
      </w:r>
      <w:r>
        <w:rPr>
          <w:spacing w:val="-9"/>
          <w:sz w:val="20"/>
        </w:rPr>
        <w:t> </w:t>
      </w:r>
      <w:r>
        <w:rPr>
          <w:sz w:val="20"/>
        </w:rPr>
        <w:t>função</w:t>
      </w:r>
      <w:r>
        <w:rPr>
          <w:spacing w:val="-7"/>
          <w:sz w:val="20"/>
        </w:rPr>
        <w:t> </w:t>
      </w:r>
      <w:r>
        <w:rPr>
          <w:sz w:val="20"/>
        </w:rPr>
        <w:t>de</w:t>
      </w:r>
      <w:r>
        <w:rPr>
          <w:spacing w:val="-9"/>
          <w:sz w:val="20"/>
        </w:rPr>
        <w:t> </w:t>
      </w:r>
      <w:r>
        <w:rPr>
          <w:sz w:val="20"/>
        </w:rPr>
        <w:t>diferença</w:t>
      </w:r>
      <w:r>
        <w:rPr>
          <w:spacing w:val="-7"/>
          <w:sz w:val="20"/>
        </w:rPr>
        <w:t> </w:t>
      </w:r>
      <w:r>
        <w:rPr>
          <w:sz w:val="20"/>
        </w:rPr>
        <w:t>valorada</w:t>
      </w:r>
      <w:r>
        <w:rPr>
          <w:spacing w:val="-6"/>
          <w:sz w:val="20"/>
        </w:rPr>
        <w:t> </w:t>
      </w:r>
      <w:r>
        <w:rPr>
          <w:sz w:val="20"/>
        </w:rPr>
        <w:t>ao</w:t>
      </w:r>
      <w:r>
        <w:rPr>
          <w:spacing w:val="-6"/>
          <w:sz w:val="20"/>
        </w:rPr>
        <w:t> </w:t>
      </w:r>
      <w:r>
        <w:rPr>
          <w:sz w:val="20"/>
        </w:rPr>
        <w:t>Preço</w:t>
      </w:r>
      <w:r>
        <w:rPr>
          <w:spacing w:val="-6"/>
          <w:sz w:val="20"/>
        </w:rPr>
        <w:t> </w:t>
      </w:r>
      <w:r>
        <w:rPr>
          <w:sz w:val="20"/>
        </w:rPr>
        <w:t>de</w:t>
      </w:r>
      <w:r>
        <w:rPr>
          <w:spacing w:val="-9"/>
          <w:sz w:val="20"/>
        </w:rPr>
        <w:t> </w:t>
      </w:r>
      <w:r>
        <w:rPr>
          <w:sz w:val="20"/>
        </w:rPr>
        <w:t>Liquidação</w:t>
      </w:r>
      <w:r>
        <w:rPr>
          <w:spacing w:val="-6"/>
          <w:sz w:val="20"/>
        </w:rPr>
        <w:t> </w:t>
      </w:r>
      <w:r>
        <w:rPr>
          <w:sz w:val="20"/>
        </w:rPr>
        <w:t>das Diferenças – PLD.</w:t>
      </w:r>
    </w:p>
    <w:p>
      <w:pPr>
        <w:pStyle w:val="ListParagraph"/>
        <w:numPr>
          <w:ilvl w:val="0"/>
          <w:numId w:val="13"/>
        </w:numPr>
        <w:tabs>
          <w:tab w:pos="1231" w:val="left" w:leader="none"/>
        </w:tabs>
        <w:spacing w:line="240" w:lineRule="auto" w:before="238" w:after="0"/>
        <w:ind w:left="1231" w:right="0" w:hanging="721"/>
        <w:jc w:val="left"/>
        <w:rPr>
          <w:sz w:val="22"/>
        </w:rPr>
      </w:pPr>
      <w:r>
        <w:rPr>
          <w:sz w:val="20"/>
        </w:rPr>
        <w:t>Refere‐se</w:t>
      </w:r>
      <w:r>
        <w:rPr>
          <w:spacing w:val="-8"/>
          <w:sz w:val="20"/>
        </w:rPr>
        <w:t> </w:t>
      </w:r>
      <w:r>
        <w:rPr>
          <w:sz w:val="20"/>
        </w:rPr>
        <w:t>a</w:t>
      </w:r>
      <w:r>
        <w:rPr>
          <w:spacing w:val="-7"/>
          <w:sz w:val="20"/>
        </w:rPr>
        <w:t> </w:t>
      </w:r>
      <w:r>
        <w:rPr>
          <w:sz w:val="20"/>
        </w:rPr>
        <w:t>depósitos</w:t>
      </w:r>
      <w:r>
        <w:rPr>
          <w:spacing w:val="-6"/>
          <w:sz w:val="20"/>
        </w:rPr>
        <w:t> </w:t>
      </w:r>
      <w:r>
        <w:rPr>
          <w:sz w:val="20"/>
        </w:rPr>
        <w:t>judiciais</w:t>
      </w:r>
      <w:r>
        <w:rPr>
          <w:spacing w:val="-6"/>
          <w:sz w:val="20"/>
        </w:rPr>
        <w:t> </w:t>
      </w:r>
      <w:r>
        <w:rPr>
          <w:sz w:val="20"/>
        </w:rPr>
        <w:t>que,</w:t>
      </w:r>
      <w:r>
        <w:rPr>
          <w:spacing w:val="-6"/>
          <w:sz w:val="20"/>
        </w:rPr>
        <w:t> </w:t>
      </w:r>
      <w:r>
        <w:rPr>
          <w:sz w:val="20"/>
        </w:rPr>
        <w:t>originalmente,</w:t>
      </w:r>
      <w:r>
        <w:rPr>
          <w:spacing w:val="-8"/>
          <w:sz w:val="20"/>
        </w:rPr>
        <w:t> </w:t>
      </w:r>
      <w:r>
        <w:rPr>
          <w:sz w:val="20"/>
        </w:rPr>
        <w:t>foram</w:t>
      </w:r>
      <w:r>
        <w:rPr>
          <w:spacing w:val="-7"/>
          <w:sz w:val="20"/>
        </w:rPr>
        <w:t> </w:t>
      </w:r>
      <w:r>
        <w:rPr>
          <w:sz w:val="20"/>
        </w:rPr>
        <w:t>registrados</w:t>
      </w:r>
      <w:r>
        <w:rPr>
          <w:spacing w:val="-7"/>
          <w:sz w:val="20"/>
        </w:rPr>
        <w:t> </w:t>
      </w:r>
      <w:r>
        <w:rPr>
          <w:sz w:val="20"/>
        </w:rPr>
        <w:t>com</w:t>
      </w:r>
      <w:r>
        <w:rPr>
          <w:spacing w:val="-11"/>
          <w:sz w:val="20"/>
        </w:rPr>
        <w:t> </w:t>
      </w:r>
      <w:r>
        <w:rPr>
          <w:spacing w:val="-2"/>
          <w:sz w:val="20"/>
        </w:rPr>
        <w:t>despesas.</w:t>
      </w:r>
    </w:p>
    <w:p>
      <w:pPr>
        <w:spacing w:after="0" w:line="240" w:lineRule="auto"/>
        <w:jc w:val="left"/>
        <w:rPr>
          <w:sz w:val="22"/>
        </w:rPr>
        <w:sectPr>
          <w:pgSz w:w="11910" w:h="16840"/>
          <w:pgMar w:header="637" w:footer="630" w:top="1800" w:bottom="820" w:left="700" w:right="480"/>
        </w:sectPr>
      </w:pPr>
    </w:p>
    <w:p>
      <w:pPr>
        <w:pStyle w:val="BodyText"/>
        <w:spacing w:before="95"/>
        <w:rPr>
          <w:sz w:val="20"/>
        </w:rPr>
      </w:pPr>
    </w:p>
    <w:tbl>
      <w:tblPr>
        <w:tblW w:w="0" w:type="auto"/>
        <w:jc w:val="lef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3"/>
        <w:gridCol w:w="1679"/>
        <w:gridCol w:w="1036"/>
      </w:tblGrid>
      <w:tr>
        <w:trPr>
          <w:trHeight w:val="504" w:hRule="atLeast"/>
        </w:trPr>
        <w:tc>
          <w:tcPr>
            <w:tcW w:w="7543" w:type="dxa"/>
          </w:tcPr>
          <w:p>
            <w:pPr>
              <w:pStyle w:val="TableParagraph"/>
              <w:tabs>
                <w:tab w:pos="617" w:val="left" w:leader="none"/>
              </w:tabs>
              <w:spacing w:line="265" w:lineRule="exact"/>
              <w:ind w:left="50"/>
              <w:rPr>
                <w:b/>
                <w:sz w:val="26"/>
              </w:rPr>
            </w:pPr>
            <w:r>
              <w:rPr>
                <w:b/>
                <w:spacing w:val="-5"/>
                <w:sz w:val="26"/>
              </w:rPr>
              <w:t>14.</w:t>
            </w:r>
            <w:r>
              <w:rPr>
                <w:b/>
                <w:sz w:val="26"/>
              </w:rPr>
              <w:tab/>
              <w:t>Outras</w:t>
            </w:r>
            <w:r>
              <w:rPr>
                <w:b/>
                <w:spacing w:val="-9"/>
                <w:sz w:val="26"/>
              </w:rPr>
              <w:t> </w:t>
            </w:r>
            <w:r>
              <w:rPr>
                <w:b/>
                <w:sz w:val="26"/>
              </w:rPr>
              <w:t>despesas</w:t>
            </w:r>
            <w:r>
              <w:rPr>
                <w:b/>
                <w:spacing w:val="-6"/>
                <w:sz w:val="26"/>
              </w:rPr>
              <w:t> </w:t>
            </w:r>
            <w:r>
              <w:rPr>
                <w:b/>
                <w:spacing w:val="-2"/>
                <w:sz w:val="26"/>
              </w:rPr>
              <w:t>líquidas</w:t>
            </w:r>
          </w:p>
        </w:tc>
        <w:tc>
          <w:tcPr>
            <w:tcW w:w="2715" w:type="dxa"/>
            <w:gridSpan w:val="2"/>
            <w:tcBorders>
              <w:bottom w:val="single" w:sz="4" w:space="0" w:color="000000"/>
            </w:tcBorders>
          </w:tcPr>
          <w:p>
            <w:pPr>
              <w:pStyle w:val="TableParagraph"/>
              <w:rPr>
                <w:rFonts w:ascii="Times New Roman"/>
                <w:sz w:val="18"/>
              </w:rPr>
            </w:pPr>
          </w:p>
        </w:tc>
      </w:tr>
      <w:tr>
        <w:trPr>
          <w:trHeight w:val="235" w:hRule="atLeast"/>
        </w:trPr>
        <w:tc>
          <w:tcPr>
            <w:tcW w:w="7543" w:type="dxa"/>
          </w:tcPr>
          <w:p>
            <w:pPr>
              <w:pStyle w:val="TableParagraph"/>
              <w:rPr>
                <w:rFonts w:ascii="Times New Roman"/>
                <w:sz w:val="16"/>
              </w:rPr>
            </w:pPr>
          </w:p>
        </w:tc>
        <w:tc>
          <w:tcPr>
            <w:tcW w:w="1679" w:type="dxa"/>
            <w:tcBorders>
              <w:top w:val="single" w:sz="4" w:space="0" w:color="000000"/>
              <w:bottom w:val="single" w:sz="18" w:space="0" w:color="000000"/>
            </w:tcBorders>
          </w:tcPr>
          <w:p>
            <w:pPr>
              <w:pStyle w:val="TableParagraph"/>
              <w:spacing w:line="172" w:lineRule="exact" w:before="42"/>
              <w:ind w:right="353"/>
              <w:jc w:val="right"/>
              <w:rPr>
                <w:b/>
                <w:sz w:val="18"/>
              </w:rPr>
            </w:pPr>
            <w:r>
              <w:rPr>
                <w:b/>
                <w:spacing w:val="-4"/>
                <w:sz w:val="18"/>
              </w:rPr>
              <w:t>2022</w:t>
            </w:r>
          </w:p>
        </w:tc>
        <w:tc>
          <w:tcPr>
            <w:tcW w:w="1036" w:type="dxa"/>
            <w:tcBorders>
              <w:top w:val="single" w:sz="4" w:space="0" w:color="000000"/>
              <w:bottom w:val="single" w:sz="18" w:space="0" w:color="000000"/>
            </w:tcBorders>
          </w:tcPr>
          <w:p>
            <w:pPr>
              <w:pStyle w:val="TableParagraph"/>
              <w:spacing w:line="172" w:lineRule="exact" w:before="42"/>
              <w:ind w:right="9"/>
              <w:jc w:val="right"/>
              <w:rPr>
                <w:b/>
                <w:sz w:val="18"/>
              </w:rPr>
            </w:pPr>
            <w:r>
              <w:rPr>
                <w:b/>
                <w:spacing w:val="-4"/>
                <w:sz w:val="18"/>
              </w:rPr>
              <w:t>2021</w:t>
            </w:r>
          </w:p>
        </w:tc>
      </w:tr>
      <w:tr>
        <w:trPr>
          <w:trHeight w:val="290" w:hRule="atLeast"/>
        </w:trPr>
        <w:tc>
          <w:tcPr>
            <w:tcW w:w="7543" w:type="dxa"/>
          </w:tcPr>
          <w:p>
            <w:pPr>
              <w:pStyle w:val="TableParagraph"/>
              <w:spacing w:before="31"/>
              <w:ind w:left="118"/>
              <w:rPr>
                <w:sz w:val="18"/>
              </w:rPr>
            </w:pPr>
            <w:r>
              <w:rPr>
                <w:sz w:val="18"/>
              </w:rPr>
              <w:t>Multas</w:t>
            </w:r>
            <w:r>
              <w:rPr>
                <w:spacing w:val="-6"/>
                <w:sz w:val="18"/>
              </w:rPr>
              <w:t> </w:t>
            </w:r>
            <w:r>
              <w:rPr>
                <w:sz w:val="18"/>
              </w:rPr>
              <w:t>contratuais</w:t>
            </w:r>
            <w:r>
              <w:rPr>
                <w:spacing w:val="-4"/>
                <w:sz w:val="18"/>
              </w:rPr>
              <w:t> </w:t>
            </w:r>
            <w:r>
              <w:rPr>
                <w:sz w:val="18"/>
              </w:rPr>
              <w:t>aplicadas</w:t>
            </w:r>
            <w:r>
              <w:rPr>
                <w:spacing w:val="-5"/>
                <w:sz w:val="18"/>
              </w:rPr>
              <w:t> </w:t>
            </w:r>
            <w:r>
              <w:rPr>
                <w:sz w:val="18"/>
              </w:rPr>
              <w:t>a</w:t>
            </w:r>
            <w:r>
              <w:rPr>
                <w:spacing w:val="-5"/>
                <w:sz w:val="18"/>
              </w:rPr>
              <w:t> </w:t>
            </w:r>
            <w:r>
              <w:rPr>
                <w:spacing w:val="-2"/>
                <w:sz w:val="18"/>
              </w:rPr>
              <w:t>clientes</w:t>
            </w:r>
          </w:p>
        </w:tc>
        <w:tc>
          <w:tcPr>
            <w:tcW w:w="1679" w:type="dxa"/>
            <w:tcBorders>
              <w:top w:val="single" w:sz="18" w:space="0" w:color="000000"/>
            </w:tcBorders>
          </w:tcPr>
          <w:p>
            <w:pPr>
              <w:pStyle w:val="TableParagraph"/>
              <w:spacing w:before="31"/>
              <w:ind w:right="365"/>
              <w:jc w:val="right"/>
              <w:rPr>
                <w:sz w:val="18"/>
              </w:rPr>
            </w:pPr>
            <w:r>
              <w:rPr>
                <w:spacing w:val="-5"/>
                <w:sz w:val="18"/>
              </w:rPr>
              <w:t>45</w:t>
            </w:r>
          </w:p>
        </w:tc>
        <w:tc>
          <w:tcPr>
            <w:tcW w:w="1036" w:type="dxa"/>
            <w:tcBorders>
              <w:top w:val="single" w:sz="18" w:space="0" w:color="000000"/>
            </w:tcBorders>
          </w:tcPr>
          <w:p>
            <w:pPr>
              <w:pStyle w:val="TableParagraph"/>
              <w:spacing w:before="31"/>
              <w:ind w:right="69"/>
              <w:jc w:val="right"/>
              <w:rPr>
                <w:sz w:val="18"/>
              </w:rPr>
            </w:pPr>
            <w:r>
              <w:rPr>
                <w:spacing w:val="-5"/>
                <w:sz w:val="18"/>
              </w:rPr>
              <w:t>57</w:t>
            </w:r>
          </w:p>
        </w:tc>
      </w:tr>
      <w:tr>
        <w:trPr>
          <w:trHeight w:val="270" w:hRule="atLeast"/>
        </w:trPr>
        <w:tc>
          <w:tcPr>
            <w:tcW w:w="7543" w:type="dxa"/>
          </w:tcPr>
          <w:p>
            <w:pPr>
              <w:pStyle w:val="TableParagraph"/>
              <w:spacing w:before="9"/>
              <w:ind w:left="118"/>
              <w:rPr>
                <w:sz w:val="18"/>
              </w:rPr>
            </w:pPr>
            <w:r>
              <w:rPr>
                <w:sz w:val="18"/>
              </w:rPr>
              <w:t>Perdas</w:t>
            </w:r>
            <w:r>
              <w:rPr>
                <w:spacing w:val="-4"/>
                <w:sz w:val="18"/>
              </w:rPr>
              <w:t> </w:t>
            </w:r>
            <w:r>
              <w:rPr>
                <w:sz w:val="18"/>
              </w:rPr>
              <w:t>com</w:t>
            </w:r>
            <w:r>
              <w:rPr>
                <w:spacing w:val="-3"/>
                <w:sz w:val="18"/>
              </w:rPr>
              <w:t> </w:t>
            </w:r>
            <w:r>
              <w:rPr>
                <w:sz w:val="18"/>
              </w:rPr>
              <w:t>processos</w:t>
            </w:r>
            <w:r>
              <w:rPr>
                <w:spacing w:val="-3"/>
                <w:sz w:val="18"/>
              </w:rPr>
              <w:t> </w:t>
            </w:r>
            <w:r>
              <w:rPr>
                <w:sz w:val="18"/>
              </w:rPr>
              <w:t>judiciais</w:t>
            </w:r>
            <w:r>
              <w:rPr>
                <w:spacing w:val="-3"/>
                <w:sz w:val="18"/>
              </w:rPr>
              <w:t> </w:t>
            </w:r>
            <w:r>
              <w:rPr>
                <w:spacing w:val="-5"/>
                <w:sz w:val="18"/>
              </w:rPr>
              <w:t>(i)</w:t>
            </w:r>
          </w:p>
        </w:tc>
        <w:tc>
          <w:tcPr>
            <w:tcW w:w="1679" w:type="dxa"/>
          </w:tcPr>
          <w:p>
            <w:pPr>
              <w:pStyle w:val="TableParagraph"/>
              <w:spacing w:before="9"/>
              <w:ind w:right="370"/>
              <w:jc w:val="right"/>
              <w:rPr>
                <w:sz w:val="18"/>
              </w:rPr>
            </w:pPr>
            <w:r>
              <w:rPr>
                <w:spacing w:val="-2"/>
                <w:sz w:val="18"/>
              </w:rPr>
              <w:t>(645)</w:t>
            </w:r>
          </w:p>
        </w:tc>
        <w:tc>
          <w:tcPr>
            <w:tcW w:w="1036" w:type="dxa"/>
          </w:tcPr>
          <w:p>
            <w:pPr>
              <w:pStyle w:val="TableParagraph"/>
              <w:spacing w:before="9"/>
              <w:ind w:right="68"/>
              <w:jc w:val="right"/>
              <w:rPr>
                <w:sz w:val="18"/>
              </w:rPr>
            </w:pPr>
            <w:r>
              <w:rPr>
                <w:spacing w:val="-2"/>
                <w:sz w:val="18"/>
              </w:rPr>
              <w:t>(4.241)</w:t>
            </w:r>
          </w:p>
        </w:tc>
      </w:tr>
      <w:tr>
        <w:trPr>
          <w:trHeight w:val="270" w:hRule="atLeast"/>
        </w:trPr>
        <w:tc>
          <w:tcPr>
            <w:tcW w:w="7543" w:type="dxa"/>
          </w:tcPr>
          <w:p>
            <w:pPr>
              <w:pStyle w:val="TableParagraph"/>
              <w:spacing w:before="8"/>
              <w:ind w:left="118"/>
              <w:rPr>
                <w:sz w:val="18"/>
              </w:rPr>
            </w:pPr>
            <w:r>
              <w:rPr>
                <w:sz w:val="18"/>
              </w:rPr>
              <w:t>Reversão</w:t>
            </w:r>
            <w:r>
              <w:rPr>
                <w:spacing w:val="-8"/>
                <w:sz w:val="18"/>
              </w:rPr>
              <w:t> </w:t>
            </w:r>
            <w:r>
              <w:rPr>
                <w:sz w:val="18"/>
              </w:rPr>
              <w:t>de</w:t>
            </w:r>
            <w:r>
              <w:rPr>
                <w:spacing w:val="-5"/>
                <w:sz w:val="18"/>
              </w:rPr>
              <w:t> </w:t>
            </w:r>
            <w:r>
              <w:rPr>
                <w:sz w:val="18"/>
              </w:rPr>
              <w:t>provisão</w:t>
            </w:r>
            <w:r>
              <w:rPr>
                <w:spacing w:val="-5"/>
                <w:sz w:val="18"/>
              </w:rPr>
              <w:t> </w:t>
            </w:r>
            <w:r>
              <w:rPr>
                <w:sz w:val="18"/>
              </w:rPr>
              <w:t>para</w:t>
            </w:r>
            <w:r>
              <w:rPr>
                <w:spacing w:val="-4"/>
                <w:sz w:val="18"/>
              </w:rPr>
              <w:t> </w:t>
            </w:r>
            <w:r>
              <w:rPr>
                <w:sz w:val="18"/>
              </w:rPr>
              <w:t>contingências</w:t>
            </w:r>
            <w:r>
              <w:rPr>
                <w:spacing w:val="-5"/>
                <w:sz w:val="18"/>
              </w:rPr>
              <w:t> </w:t>
            </w:r>
            <w:r>
              <w:rPr>
                <w:sz w:val="18"/>
              </w:rPr>
              <w:t>com</w:t>
            </w:r>
            <w:r>
              <w:rPr>
                <w:spacing w:val="-4"/>
                <w:sz w:val="18"/>
              </w:rPr>
              <w:t> </w:t>
            </w:r>
            <w:r>
              <w:rPr>
                <w:sz w:val="18"/>
              </w:rPr>
              <w:t>processos</w:t>
            </w:r>
            <w:r>
              <w:rPr>
                <w:spacing w:val="-4"/>
                <w:sz w:val="18"/>
              </w:rPr>
              <w:t> </w:t>
            </w:r>
            <w:r>
              <w:rPr>
                <w:spacing w:val="-2"/>
                <w:sz w:val="18"/>
              </w:rPr>
              <w:t>judiciais</w:t>
            </w:r>
          </w:p>
        </w:tc>
        <w:tc>
          <w:tcPr>
            <w:tcW w:w="1679" w:type="dxa"/>
          </w:tcPr>
          <w:p>
            <w:pPr>
              <w:pStyle w:val="TableParagraph"/>
              <w:spacing w:before="8"/>
              <w:ind w:right="368"/>
              <w:jc w:val="right"/>
              <w:rPr>
                <w:sz w:val="18"/>
              </w:rPr>
            </w:pPr>
            <w:r>
              <w:rPr>
                <w:spacing w:val="-2"/>
                <w:sz w:val="18"/>
              </w:rPr>
              <w:t>1.334</w:t>
            </w:r>
          </w:p>
        </w:tc>
        <w:tc>
          <w:tcPr>
            <w:tcW w:w="1036" w:type="dxa"/>
          </w:tcPr>
          <w:p>
            <w:pPr>
              <w:pStyle w:val="TableParagraph"/>
              <w:spacing w:before="8"/>
              <w:ind w:right="69"/>
              <w:jc w:val="right"/>
              <w:rPr>
                <w:sz w:val="18"/>
              </w:rPr>
            </w:pPr>
            <w:r>
              <w:rPr>
                <w:spacing w:val="-10"/>
                <w:sz w:val="18"/>
              </w:rPr>
              <w:t>‐</w:t>
            </w:r>
          </w:p>
        </w:tc>
      </w:tr>
      <w:tr>
        <w:trPr>
          <w:trHeight w:val="270" w:hRule="atLeast"/>
        </w:trPr>
        <w:tc>
          <w:tcPr>
            <w:tcW w:w="7543" w:type="dxa"/>
          </w:tcPr>
          <w:p>
            <w:pPr>
              <w:pStyle w:val="TableParagraph"/>
              <w:spacing w:before="9"/>
              <w:ind w:left="118"/>
              <w:rPr>
                <w:sz w:val="18"/>
              </w:rPr>
            </w:pPr>
            <w:r>
              <w:rPr>
                <w:sz w:val="18"/>
              </w:rPr>
              <w:t>Equipamentos</w:t>
            </w:r>
            <w:r>
              <w:rPr>
                <w:spacing w:val="-3"/>
                <w:sz w:val="18"/>
              </w:rPr>
              <w:t> </w:t>
            </w:r>
            <w:r>
              <w:rPr>
                <w:sz w:val="18"/>
              </w:rPr>
              <w:t>fora</w:t>
            </w:r>
            <w:r>
              <w:rPr>
                <w:spacing w:val="-2"/>
                <w:sz w:val="18"/>
              </w:rPr>
              <w:t> </w:t>
            </w:r>
            <w:r>
              <w:rPr>
                <w:sz w:val="18"/>
              </w:rPr>
              <w:t>de</w:t>
            </w:r>
            <w:r>
              <w:rPr>
                <w:spacing w:val="-3"/>
                <w:sz w:val="18"/>
              </w:rPr>
              <w:t> </w:t>
            </w:r>
            <w:r>
              <w:rPr>
                <w:sz w:val="18"/>
              </w:rPr>
              <w:t>operação</w:t>
            </w:r>
            <w:r>
              <w:rPr>
                <w:spacing w:val="-2"/>
                <w:sz w:val="18"/>
              </w:rPr>
              <w:t> </w:t>
            </w:r>
            <w:r>
              <w:rPr>
                <w:spacing w:val="-4"/>
                <w:sz w:val="18"/>
              </w:rPr>
              <w:t>(ii)</w:t>
            </w:r>
          </w:p>
        </w:tc>
        <w:tc>
          <w:tcPr>
            <w:tcW w:w="1679" w:type="dxa"/>
          </w:tcPr>
          <w:p>
            <w:pPr>
              <w:pStyle w:val="TableParagraph"/>
              <w:spacing w:before="9"/>
              <w:ind w:right="368"/>
              <w:jc w:val="right"/>
              <w:rPr>
                <w:sz w:val="18"/>
              </w:rPr>
            </w:pPr>
            <w:r>
              <w:rPr>
                <w:spacing w:val="-2"/>
                <w:sz w:val="18"/>
              </w:rPr>
              <w:t>(20.408)</w:t>
            </w:r>
          </w:p>
        </w:tc>
        <w:tc>
          <w:tcPr>
            <w:tcW w:w="1036" w:type="dxa"/>
          </w:tcPr>
          <w:p>
            <w:pPr>
              <w:pStyle w:val="TableParagraph"/>
              <w:spacing w:before="9"/>
              <w:ind w:right="66"/>
              <w:jc w:val="right"/>
              <w:rPr>
                <w:sz w:val="18"/>
              </w:rPr>
            </w:pPr>
            <w:r>
              <w:rPr>
                <w:spacing w:val="-2"/>
                <w:sz w:val="18"/>
              </w:rPr>
              <w:t>(33.054)</w:t>
            </w:r>
          </w:p>
        </w:tc>
      </w:tr>
      <w:tr>
        <w:trPr>
          <w:trHeight w:val="270" w:hRule="atLeast"/>
        </w:trPr>
        <w:tc>
          <w:tcPr>
            <w:tcW w:w="7543" w:type="dxa"/>
          </w:tcPr>
          <w:p>
            <w:pPr>
              <w:pStyle w:val="TableParagraph"/>
              <w:spacing w:before="8"/>
              <w:ind w:left="118"/>
              <w:rPr>
                <w:sz w:val="18"/>
              </w:rPr>
            </w:pPr>
            <w:r>
              <w:rPr>
                <w:sz w:val="18"/>
              </w:rPr>
              <w:t>Receitas</w:t>
            </w:r>
            <w:r>
              <w:rPr>
                <w:spacing w:val="-4"/>
                <w:sz w:val="18"/>
              </w:rPr>
              <w:t> </w:t>
            </w:r>
            <w:r>
              <w:rPr>
                <w:sz w:val="18"/>
              </w:rPr>
              <w:t>eventuais</w:t>
            </w:r>
            <w:r>
              <w:rPr>
                <w:spacing w:val="-3"/>
                <w:sz w:val="18"/>
              </w:rPr>
              <w:t> </w:t>
            </w:r>
            <w:r>
              <w:rPr>
                <w:spacing w:val="-2"/>
                <w:sz w:val="18"/>
              </w:rPr>
              <w:t>(iii)</w:t>
            </w:r>
          </w:p>
        </w:tc>
        <w:tc>
          <w:tcPr>
            <w:tcW w:w="1679" w:type="dxa"/>
          </w:tcPr>
          <w:p>
            <w:pPr>
              <w:pStyle w:val="TableParagraph"/>
              <w:spacing w:before="8"/>
              <w:ind w:right="368"/>
              <w:jc w:val="right"/>
              <w:rPr>
                <w:sz w:val="18"/>
              </w:rPr>
            </w:pPr>
            <w:r>
              <w:rPr>
                <w:spacing w:val="-5"/>
                <w:sz w:val="18"/>
              </w:rPr>
              <w:t>198</w:t>
            </w:r>
          </w:p>
        </w:tc>
        <w:tc>
          <w:tcPr>
            <w:tcW w:w="1036" w:type="dxa"/>
          </w:tcPr>
          <w:p>
            <w:pPr>
              <w:pStyle w:val="TableParagraph"/>
              <w:spacing w:before="8"/>
              <w:ind w:right="69"/>
              <w:jc w:val="right"/>
              <w:rPr>
                <w:sz w:val="18"/>
              </w:rPr>
            </w:pPr>
            <w:r>
              <w:rPr>
                <w:spacing w:val="-2"/>
                <w:sz w:val="18"/>
              </w:rPr>
              <w:t>9.511</w:t>
            </w:r>
          </w:p>
        </w:tc>
      </w:tr>
      <w:tr>
        <w:trPr>
          <w:trHeight w:val="270" w:hRule="atLeast"/>
        </w:trPr>
        <w:tc>
          <w:tcPr>
            <w:tcW w:w="7543" w:type="dxa"/>
          </w:tcPr>
          <w:p>
            <w:pPr>
              <w:pStyle w:val="TableParagraph"/>
              <w:spacing w:before="9"/>
              <w:ind w:left="118"/>
              <w:rPr>
                <w:sz w:val="18"/>
              </w:rPr>
            </w:pPr>
            <w:r>
              <w:rPr>
                <w:sz w:val="18"/>
              </w:rPr>
              <w:t>Baixa</w:t>
            </w:r>
            <w:r>
              <w:rPr>
                <w:spacing w:val="-3"/>
                <w:sz w:val="18"/>
              </w:rPr>
              <w:t> </w:t>
            </w:r>
            <w:r>
              <w:rPr>
                <w:sz w:val="18"/>
              </w:rPr>
              <w:t>de</w:t>
            </w:r>
            <w:r>
              <w:rPr>
                <w:spacing w:val="-3"/>
                <w:sz w:val="18"/>
              </w:rPr>
              <w:t> </w:t>
            </w:r>
            <w:r>
              <w:rPr>
                <w:sz w:val="18"/>
              </w:rPr>
              <w:t>materiais</w:t>
            </w:r>
            <w:r>
              <w:rPr>
                <w:spacing w:val="-3"/>
                <w:sz w:val="18"/>
              </w:rPr>
              <w:t> </w:t>
            </w:r>
            <w:r>
              <w:rPr>
                <w:spacing w:val="-2"/>
                <w:sz w:val="18"/>
              </w:rPr>
              <w:t>inservíveis</w:t>
            </w:r>
          </w:p>
        </w:tc>
        <w:tc>
          <w:tcPr>
            <w:tcW w:w="1679" w:type="dxa"/>
          </w:tcPr>
          <w:p>
            <w:pPr>
              <w:pStyle w:val="TableParagraph"/>
              <w:spacing w:before="9"/>
              <w:ind w:right="369"/>
              <w:jc w:val="right"/>
              <w:rPr>
                <w:sz w:val="18"/>
              </w:rPr>
            </w:pPr>
            <w:r>
              <w:rPr>
                <w:spacing w:val="-2"/>
                <w:sz w:val="18"/>
              </w:rPr>
              <w:t>(343)</w:t>
            </w:r>
          </w:p>
        </w:tc>
        <w:tc>
          <w:tcPr>
            <w:tcW w:w="1036" w:type="dxa"/>
          </w:tcPr>
          <w:p>
            <w:pPr>
              <w:pStyle w:val="TableParagraph"/>
              <w:spacing w:before="9"/>
              <w:ind w:right="67"/>
              <w:jc w:val="right"/>
              <w:rPr>
                <w:sz w:val="18"/>
              </w:rPr>
            </w:pPr>
            <w:r>
              <w:rPr>
                <w:spacing w:val="-2"/>
                <w:sz w:val="18"/>
              </w:rPr>
              <w:t>(3.208)</w:t>
            </w:r>
          </w:p>
        </w:tc>
      </w:tr>
      <w:tr>
        <w:trPr>
          <w:trHeight w:val="269" w:hRule="atLeast"/>
        </w:trPr>
        <w:tc>
          <w:tcPr>
            <w:tcW w:w="7543" w:type="dxa"/>
          </w:tcPr>
          <w:p>
            <w:pPr>
              <w:pStyle w:val="TableParagraph"/>
              <w:spacing w:before="8"/>
              <w:ind w:left="118"/>
              <w:rPr>
                <w:sz w:val="18"/>
              </w:rPr>
            </w:pPr>
            <w:r>
              <w:rPr>
                <w:sz w:val="18"/>
              </w:rPr>
              <w:t>Resultado</w:t>
            </w:r>
            <w:r>
              <w:rPr>
                <w:spacing w:val="-2"/>
                <w:sz w:val="18"/>
              </w:rPr>
              <w:t> </w:t>
            </w:r>
            <w:r>
              <w:rPr>
                <w:sz w:val="18"/>
              </w:rPr>
              <w:t>de</w:t>
            </w:r>
            <w:r>
              <w:rPr>
                <w:spacing w:val="-2"/>
                <w:sz w:val="18"/>
              </w:rPr>
              <w:t> </w:t>
            </w:r>
            <w:r>
              <w:rPr>
                <w:sz w:val="18"/>
              </w:rPr>
              <w:t>atividades</w:t>
            </w:r>
            <w:r>
              <w:rPr>
                <w:spacing w:val="-2"/>
                <w:sz w:val="18"/>
              </w:rPr>
              <w:t> não‐fim</w:t>
            </w:r>
          </w:p>
        </w:tc>
        <w:tc>
          <w:tcPr>
            <w:tcW w:w="1679" w:type="dxa"/>
          </w:tcPr>
          <w:p>
            <w:pPr>
              <w:pStyle w:val="TableParagraph"/>
              <w:spacing w:before="8"/>
              <w:ind w:right="368"/>
              <w:jc w:val="right"/>
              <w:rPr>
                <w:sz w:val="18"/>
              </w:rPr>
            </w:pPr>
            <w:r>
              <w:rPr>
                <w:spacing w:val="-5"/>
                <w:sz w:val="18"/>
              </w:rPr>
              <w:t>170</w:t>
            </w:r>
          </w:p>
        </w:tc>
        <w:tc>
          <w:tcPr>
            <w:tcW w:w="1036" w:type="dxa"/>
          </w:tcPr>
          <w:p>
            <w:pPr>
              <w:pStyle w:val="TableParagraph"/>
              <w:spacing w:before="8"/>
              <w:ind w:right="69"/>
              <w:jc w:val="right"/>
              <w:rPr>
                <w:sz w:val="18"/>
              </w:rPr>
            </w:pPr>
            <w:r>
              <w:rPr>
                <w:spacing w:val="-2"/>
                <w:sz w:val="18"/>
              </w:rPr>
              <w:t>1.729</w:t>
            </w:r>
          </w:p>
        </w:tc>
      </w:tr>
      <w:tr>
        <w:trPr>
          <w:trHeight w:val="270" w:hRule="atLeast"/>
        </w:trPr>
        <w:tc>
          <w:tcPr>
            <w:tcW w:w="7543" w:type="dxa"/>
          </w:tcPr>
          <w:p>
            <w:pPr>
              <w:pStyle w:val="TableParagraph"/>
              <w:spacing w:before="9"/>
              <w:ind w:left="118"/>
              <w:rPr>
                <w:sz w:val="18"/>
              </w:rPr>
            </w:pPr>
            <w:r>
              <w:rPr>
                <w:sz w:val="18"/>
              </w:rPr>
              <w:t>Reversão</w:t>
            </w:r>
            <w:r>
              <w:rPr>
                <w:spacing w:val="-5"/>
                <w:sz w:val="18"/>
              </w:rPr>
              <w:t> </w:t>
            </w:r>
            <w:r>
              <w:rPr>
                <w:sz w:val="18"/>
              </w:rPr>
              <w:t>de</w:t>
            </w:r>
            <w:r>
              <w:rPr>
                <w:spacing w:val="-3"/>
                <w:sz w:val="18"/>
              </w:rPr>
              <w:t> </w:t>
            </w:r>
            <w:r>
              <w:rPr>
                <w:spacing w:val="-2"/>
                <w:sz w:val="18"/>
              </w:rPr>
              <w:t>despesas</w:t>
            </w:r>
          </w:p>
        </w:tc>
        <w:tc>
          <w:tcPr>
            <w:tcW w:w="1679" w:type="dxa"/>
          </w:tcPr>
          <w:p>
            <w:pPr>
              <w:pStyle w:val="TableParagraph"/>
              <w:spacing w:before="9"/>
              <w:ind w:right="369"/>
              <w:jc w:val="right"/>
              <w:rPr>
                <w:sz w:val="18"/>
              </w:rPr>
            </w:pPr>
            <w:r>
              <w:rPr>
                <w:spacing w:val="-2"/>
                <w:sz w:val="18"/>
              </w:rPr>
              <w:t>1.951</w:t>
            </w:r>
          </w:p>
        </w:tc>
        <w:tc>
          <w:tcPr>
            <w:tcW w:w="1036" w:type="dxa"/>
          </w:tcPr>
          <w:p>
            <w:pPr>
              <w:pStyle w:val="TableParagraph"/>
              <w:spacing w:before="9"/>
              <w:ind w:right="69"/>
              <w:jc w:val="right"/>
              <w:rPr>
                <w:sz w:val="18"/>
              </w:rPr>
            </w:pPr>
            <w:r>
              <w:rPr>
                <w:spacing w:val="-10"/>
                <w:sz w:val="18"/>
              </w:rPr>
              <w:t>‐</w:t>
            </w:r>
          </w:p>
        </w:tc>
      </w:tr>
      <w:tr>
        <w:trPr>
          <w:trHeight w:val="201" w:hRule="atLeast"/>
        </w:trPr>
        <w:tc>
          <w:tcPr>
            <w:tcW w:w="7543" w:type="dxa"/>
          </w:tcPr>
          <w:p>
            <w:pPr>
              <w:pStyle w:val="TableParagraph"/>
              <w:spacing w:line="174" w:lineRule="exact" w:before="8"/>
              <w:ind w:left="118"/>
              <w:rPr>
                <w:sz w:val="18"/>
              </w:rPr>
            </w:pPr>
            <w:r>
              <w:rPr>
                <w:spacing w:val="-2"/>
                <w:sz w:val="18"/>
              </w:rPr>
              <w:t>Outras</w:t>
            </w:r>
          </w:p>
        </w:tc>
        <w:tc>
          <w:tcPr>
            <w:tcW w:w="1679" w:type="dxa"/>
            <w:tcBorders>
              <w:bottom w:val="single" w:sz="18" w:space="0" w:color="000000"/>
            </w:tcBorders>
          </w:tcPr>
          <w:p>
            <w:pPr>
              <w:pStyle w:val="TableParagraph"/>
              <w:spacing w:line="161" w:lineRule="exact" w:before="8"/>
              <w:ind w:right="363"/>
              <w:jc w:val="right"/>
              <w:rPr>
                <w:sz w:val="18"/>
              </w:rPr>
            </w:pPr>
            <w:r>
              <w:rPr>
                <w:spacing w:val="-5"/>
                <w:sz w:val="18"/>
              </w:rPr>
              <w:t>172</w:t>
            </w:r>
          </w:p>
        </w:tc>
        <w:tc>
          <w:tcPr>
            <w:tcW w:w="1036" w:type="dxa"/>
            <w:tcBorders>
              <w:bottom w:val="single" w:sz="18" w:space="0" w:color="000000"/>
            </w:tcBorders>
          </w:tcPr>
          <w:p>
            <w:pPr>
              <w:pStyle w:val="TableParagraph"/>
              <w:spacing w:line="161" w:lineRule="exact" w:before="8"/>
              <w:ind w:right="10"/>
              <w:jc w:val="right"/>
              <w:rPr>
                <w:sz w:val="18"/>
              </w:rPr>
            </w:pPr>
            <w:r>
              <w:rPr>
                <w:spacing w:val="-2"/>
                <w:sz w:val="18"/>
              </w:rPr>
              <w:t>(163)</w:t>
            </w:r>
          </w:p>
        </w:tc>
      </w:tr>
      <w:tr>
        <w:trPr>
          <w:trHeight w:val="248" w:hRule="atLeast"/>
        </w:trPr>
        <w:tc>
          <w:tcPr>
            <w:tcW w:w="7543" w:type="dxa"/>
          </w:tcPr>
          <w:p>
            <w:pPr>
              <w:pStyle w:val="TableParagraph"/>
              <w:rPr>
                <w:rFonts w:ascii="Times New Roman"/>
                <w:sz w:val="18"/>
              </w:rPr>
            </w:pPr>
          </w:p>
        </w:tc>
        <w:tc>
          <w:tcPr>
            <w:tcW w:w="1679" w:type="dxa"/>
            <w:tcBorders>
              <w:top w:val="single" w:sz="18" w:space="0" w:color="000000"/>
              <w:bottom w:val="single" w:sz="24" w:space="0" w:color="000000"/>
            </w:tcBorders>
          </w:tcPr>
          <w:p>
            <w:pPr>
              <w:pStyle w:val="TableParagraph"/>
              <w:spacing w:line="211" w:lineRule="exact" w:before="29"/>
              <w:ind w:right="370"/>
              <w:jc w:val="right"/>
              <w:rPr>
                <w:sz w:val="18"/>
              </w:rPr>
            </w:pPr>
            <w:r>
              <w:rPr>
                <w:spacing w:val="-2"/>
                <w:sz w:val="18"/>
              </w:rPr>
              <w:t>(17.526)</w:t>
            </w:r>
          </w:p>
        </w:tc>
        <w:tc>
          <w:tcPr>
            <w:tcW w:w="1036" w:type="dxa"/>
            <w:tcBorders>
              <w:top w:val="single" w:sz="18" w:space="0" w:color="000000"/>
              <w:bottom w:val="single" w:sz="24" w:space="0" w:color="000000"/>
            </w:tcBorders>
          </w:tcPr>
          <w:p>
            <w:pPr>
              <w:pStyle w:val="TableParagraph"/>
              <w:spacing w:line="211" w:lineRule="exact" w:before="29"/>
              <w:ind w:right="68"/>
              <w:jc w:val="right"/>
              <w:rPr>
                <w:sz w:val="18"/>
              </w:rPr>
            </w:pPr>
            <w:r>
              <w:rPr>
                <w:spacing w:val="-2"/>
                <w:sz w:val="18"/>
              </w:rPr>
              <w:t>(29.369)</w:t>
            </w:r>
          </w:p>
        </w:tc>
      </w:tr>
    </w:tbl>
    <w:p>
      <w:pPr>
        <w:pStyle w:val="BodyText"/>
        <w:spacing w:before="93"/>
        <w:rPr>
          <w:sz w:val="18"/>
        </w:rPr>
      </w:pPr>
    </w:p>
    <w:p>
      <w:pPr>
        <w:pStyle w:val="ListParagraph"/>
        <w:numPr>
          <w:ilvl w:val="0"/>
          <w:numId w:val="14"/>
        </w:numPr>
        <w:tabs>
          <w:tab w:pos="917" w:val="left" w:leader="none"/>
        </w:tabs>
        <w:spacing w:line="240" w:lineRule="auto" w:before="0" w:after="0"/>
        <w:ind w:left="917" w:right="0" w:hanging="721"/>
        <w:jc w:val="left"/>
        <w:rPr>
          <w:sz w:val="18"/>
        </w:rPr>
      </w:pPr>
      <w:r>
        <w:rPr>
          <w:sz w:val="18"/>
        </w:rPr>
        <w:t>Perdas</w:t>
      </w:r>
      <w:r>
        <w:rPr>
          <w:spacing w:val="-4"/>
          <w:sz w:val="18"/>
        </w:rPr>
        <w:t> </w:t>
      </w:r>
      <w:r>
        <w:rPr>
          <w:sz w:val="18"/>
        </w:rPr>
        <w:t>com</w:t>
      </w:r>
      <w:r>
        <w:rPr>
          <w:spacing w:val="-3"/>
          <w:sz w:val="18"/>
        </w:rPr>
        <w:t> </w:t>
      </w:r>
      <w:r>
        <w:rPr>
          <w:sz w:val="18"/>
        </w:rPr>
        <w:t>processos</w:t>
      </w:r>
      <w:r>
        <w:rPr>
          <w:spacing w:val="-3"/>
          <w:sz w:val="18"/>
        </w:rPr>
        <w:t> </w:t>
      </w:r>
      <w:r>
        <w:rPr>
          <w:sz w:val="18"/>
        </w:rPr>
        <w:t>judiciais</w:t>
      </w:r>
      <w:r>
        <w:rPr>
          <w:spacing w:val="-7"/>
          <w:sz w:val="18"/>
        </w:rPr>
        <w:t> </w:t>
      </w:r>
      <w:r>
        <w:rPr>
          <w:spacing w:val="-2"/>
          <w:sz w:val="18"/>
        </w:rPr>
        <w:t>trabalhistas.</w:t>
      </w:r>
    </w:p>
    <w:p>
      <w:pPr>
        <w:pStyle w:val="BodyText"/>
        <w:spacing w:before="20"/>
        <w:rPr>
          <w:sz w:val="18"/>
        </w:rPr>
      </w:pPr>
    </w:p>
    <w:p>
      <w:pPr>
        <w:pStyle w:val="ListParagraph"/>
        <w:numPr>
          <w:ilvl w:val="0"/>
          <w:numId w:val="14"/>
        </w:numPr>
        <w:tabs>
          <w:tab w:pos="917" w:val="left" w:leader="none"/>
        </w:tabs>
        <w:spacing w:line="240" w:lineRule="auto" w:before="0" w:after="0"/>
        <w:ind w:left="917" w:right="0" w:hanging="721"/>
        <w:jc w:val="left"/>
        <w:rPr>
          <w:sz w:val="20"/>
        </w:rPr>
      </w:pPr>
      <w:r>
        <w:rPr>
          <w:sz w:val="18"/>
        </w:rPr>
        <w:t>Referem‐se</w:t>
      </w:r>
      <w:r>
        <w:rPr>
          <w:spacing w:val="-5"/>
          <w:sz w:val="18"/>
        </w:rPr>
        <w:t> </w:t>
      </w:r>
      <w:r>
        <w:rPr>
          <w:sz w:val="18"/>
        </w:rPr>
        <w:t>a</w:t>
      </w:r>
      <w:r>
        <w:rPr>
          <w:spacing w:val="-1"/>
          <w:sz w:val="18"/>
        </w:rPr>
        <w:t> </w:t>
      </w:r>
      <w:r>
        <w:rPr>
          <w:sz w:val="18"/>
        </w:rPr>
        <w:t>gastos</w:t>
      </w:r>
      <w:r>
        <w:rPr>
          <w:spacing w:val="-2"/>
          <w:sz w:val="18"/>
        </w:rPr>
        <w:t> </w:t>
      </w:r>
      <w:r>
        <w:rPr>
          <w:sz w:val="18"/>
        </w:rPr>
        <w:t>com</w:t>
      </w:r>
      <w:r>
        <w:rPr>
          <w:spacing w:val="-1"/>
          <w:sz w:val="18"/>
        </w:rPr>
        <w:t> </w:t>
      </w:r>
      <w:r>
        <w:rPr>
          <w:sz w:val="18"/>
        </w:rPr>
        <w:t>manutenção</w:t>
      </w:r>
      <w:r>
        <w:rPr>
          <w:spacing w:val="-2"/>
          <w:sz w:val="18"/>
        </w:rPr>
        <w:t> </w:t>
      </w:r>
      <w:r>
        <w:rPr>
          <w:sz w:val="18"/>
        </w:rPr>
        <w:t>de</w:t>
      </w:r>
      <w:r>
        <w:rPr>
          <w:spacing w:val="-1"/>
          <w:sz w:val="18"/>
        </w:rPr>
        <w:t> </w:t>
      </w:r>
      <w:r>
        <w:rPr>
          <w:sz w:val="18"/>
        </w:rPr>
        <w:t>equipamentos</w:t>
      </w:r>
      <w:r>
        <w:rPr>
          <w:spacing w:val="-2"/>
          <w:sz w:val="18"/>
        </w:rPr>
        <w:t> </w:t>
      </w:r>
      <w:r>
        <w:rPr>
          <w:sz w:val="18"/>
        </w:rPr>
        <w:t>parados</w:t>
      </w:r>
      <w:r>
        <w:rPr>
          <w:spacing w:val="-3"/>
          <w:sz w:val="18"/>
        </w:rPr>
        <w:t> </w:t>
      </w:r>
      <w:r>
        <w:rPr>
          <w:sz w:val="18"/>
        </w:rPr>
        <w:t>e</w:t>
      </w:r>
      <w:r>
        <w:rPr>
          <w:spacing w:val="-1"/>
          <w:sz w:val="18"/>
        </w:rPr>
        <w:t> </w:t>
      </w:r>
      <w:r>
        <w:rPr>
          <w:sz w:val="18"/>
        </w:rPr>
        <w:t>fora</w:t>
      </w:r>
      <w:r>
        <w:rPr>
          <w:spacing w:val="-2"/>
          <w:sz w:val="18"/>
        </w:rPr>
        <w:t> </w:t>
      </w:r>
      <w:r>
        <w:rPr>
          <w:sz w:val="18"/>
        </w:rPr>
        <w:t>de</w:t>
      </w:r>
      <w:r>
        <w:rPr>
          <w:spacing w:val="-1"/>
          <w:sz w:val="18"/>
        </w:rPr>
        <w:t> </w:t>
      </w:r>
      <w:r>
        <w:rPr>
          <w:sz w:val="18"/>
        </w:rPr>
        <w:t>operação,</w:t>
      </w:r>
      <w:r>
        <w:rPr>
          <w:spacing w:val="-3"/>
          <w:sz w:val="18"/>
        </w:rPr>
        <w:t> </w:t>
      </w:r>
      <w:r>
        <w:rPr>
          <w:sz w:val="18"/>
        </w:rPr>
        <w:t>em</w:t>
      </w:r>
      <w:r>
        <w:rPr>
          <w:spacing w:val="-1"/>
          <w:sz w:val="18"/>
        </w:rPr>
        <w:t> </w:t>
      </w:r>
      <w:r>
        <w:rPr>
          <w:sz w:val="18"/>
        </w:rPr>
        <w:t>virtude</w:t>
      </w:r>
      <w:r>
        <w:rPr>
          <w:spacing w:val="-3"/>
          <w:sz w:val="18"/>
        </w:rPr>
        <w:t> </w:t>
      </w:r>
      <w:r>
        <w:rPr>
          <w:sz w:val="18"/>
        </w:rPr>
        <w:t>do</w:t>
      </w:r>
      <w:r>
        <w:rPr>
          <w:spacing w:val="-1"/>
          <w:sz w:val="18"/>
        </w:rPr>
        <w:t> </w:t>
      </w:r>
      <w:r>
        <w:rPr>
          <w:sz w:val="18"/>
        </w:rPr>
        <w:t>processo</w:t>
      </w:r>
      <w:r>
        <w:rPr>
          <w:spacing w:val="-1"/>
          <w:sz w:val="18"/>
        </w:rPr>
        <w:t> </w:t>
      </w:r>
      <w:r>
        <w:rPr>
          <w:sz w:val="18"/>
        </w:rPr>
        <w:t>de</w:t>
      </w:r>
      <w:r>
        <w:rPr>
          <w:spacing w:val="-11"/>
          <w:sz w:val="18"/>
        </w:rPr>
        <w:t> </w:t>
      </w:r>
      <w:r>
        <w:rPr>
          <w:spacing w:val="-2"/>
          <w:sz w:val="18"/>
        </w:rPr>
        <w:t>hibernação</w:t>
      </w:r>
      <w:r>
        <w:rPr>
          <w:spacing w:val="-2"/>
          <w:sz w:val="20"/>
        </w:rPr>
        <w:t>.</w:t>
      </w:r>
    </w:p>
    <w:p>
      <w:pPr>
        <w:pStyle w:val="BodyText"/>
        <w:spacing w:before="19"/>
        <w:rPr>
          <w:sz w:val="18"/>
        </w:rPr>
      </w:pPr>
    </w:p>
    <w:p>
      <w:pPr>
        <w:pStyle w:val="ListParagraph"/>
        <w:numPr>
          <w:ilvl w:val="0"/>
          <w:numId w:val="14"/>
        </w:numPr>
        <w:tabs>
          <w:tab w:pos="917" w:val="left" w:leader="none"/>
        </w:tabs>
        <w:spacing w:line="240" w:lineRule="auto" w:before="0" w:after="0"/>
        <w:ind w:left="917" w:right="732" w:hanging="722"/>
        <w:jc w:val="left"/>
        <w:rPr>
          <w:sz w:val="16"/>
        </w:rPr>
      </w:pPr>
      <w:r>
        <w:rPr>
          <w:sz w:val="18"/>
        </w:rPr>
        <w:t>Em</w:t>
      </w:r>
      <w:r>
        <w:rPr>
          <w:spacing w:val="-2"/>
          <w:sz w:val="18"/>
        </w:rPr>
        <w:t> </w:t>
      </w:r>
      <w:r>
        <w:rPr>
          <w:sz w:val="18"/>
        </w:rPr>
        <w:t>2021,</w:t>
      </w:r>
      <w:r>
        <w:rPr>
          <w:spacing w:val="-3"/>
          <w:sz w:val="18"/>
        </w:rPr>
        <w:t> </w:t>
      </w:r>
      <w:r>
        <w:rPr>
          <w:sz w:val="18"/>
        </w:rPr>
        <w:t>refere‐se,</w:t>
      </w:r>
      <w:r>
        <w:rPr>
          <w:spacing w:val="-3"/>
          <w:sz w:val="18"/>
        </w:rPr>
        <w:t> </w:t>
      </w:r>
      <w:r>
        <w:rPr>
          <w:sz w:val="18"/>
        </w:rPr>
        <w:t>substancialmente</w:t>
      </w:r>
      <w:r>
        <w:rPr>
          <w:spacing w:val="-2"/>
          <w:sz w:val="18"/>
        </w:rPr>
        <w:t> </w:t>
      </w:r>
      <w:r>
        <w:rPr>
          <w:sz w:val="18"/>
        </w:rPr>
        <w:t>(R$</w:t>
      </w:r>
      <w:r>
        <w:rPr>
          <w:spacing w:val="-2"/>
          <w:sz w:val="18"/>
        </w:rPr>
        <w:t> </w:t>
      </w:r>
      <w:r>
        <w:rPr>
          <w:sz w:val="18"/>
        </w:rPr>
        <w:t>7.705),</w:t>
      </w:r>
      <w:r>
        <w:rPr>
          <w:spacing w:val="-5"/>
          <w:sz w:val="18"/>
        </w:rPr>
        <w:t> </w:t>
      </w:r>
      <w:r>
        <w:rPr>
          <w:sz w:val="18"/>
        </w:rPr>
        <w:t>a</w:t>
      </w:r>
      <w:r>
        <w:rPr>
          <w:spacing w:val="-2"/>
          <w:sz w:val="18"/>
        </w:rPr>
        <w:t> </w:t>
      </w:r>
      <w:r>
        <w:rPr>
          <w:sz w:val="18"/>
        </w:rPr>
        <w:t>cessão,</w:t>
      </w:r>
      <w:r>
        <w:rPr>
          <w:spacing w:val="-3"/>
          <w:sz w:val="18"/>
        </w:rPr>
        <w:t> </w:t>
      </w:r>
      <w:r>
        <w:rPr>
          <w:sz w:val="18"/>
        </w:rPr>
        <w:t>à</w:t>
      </w:r>
      <w:r>
        <w:rPr>
          <w:spacing w:val="-2"/>
          <w:sz w:val="18"/>
        </w:rPr>
        <w:t> </w:t>
      </w:r>
      <w:r>
        <w:rPr>
          <w:sz w:val="18"/>
        </w:rPr>
        <w:t>Petrobras,</w:t>
      </w:r>
      <w:r>
        <w:rPr>
          <w:spacing w:val="-3"/>
          <w:sz w:val="18"/>
        </w:rPr>
        <w:t> </w:t>
      </w:r>
      <w:r>
        <w:rPr>
          <w:sz w:val="18"/>
        </w:rPr>
        <w:t>de</w:t>
      </w:r>
      <w:r>
        <w:rPr>
          <w:spacing w:val="-2"/>
          <w:sz w:val="18"/>
        </w:rPr>
        <w:t> </w:t>
      </w:r>
      <w:r>
        <w:rPr>
          <w:sz w:val="18"/>
        </w:rPr>
        <w:t>créditos</w:t>
      </w:r>
      <w:r>
        <w:rPr>
          <w:spacing w:val="-2"/>
          <w:sz w:val="18"/>
        </w:rPr>
        <w:t> </w:t>
      </w:r>
      <w:r>
        <w:rPr>
          <w:sz w:val="20"/>
        </w:rPr>
        <w:t>junto</w:t>
      </w:r>
      <w:r>
        <w:rPr>
          <w:spacing w:val="-3"/>
          <w:sz w:val="20"/>
        </w:rPr>
        <w:t> </w:t>
      </w:r>
      <w:r>
        <w:rPr>
          <w:sz w:val="20"/>
        </w:rPr>
        <w:t>à</w:t>
      </w:r>
      <w:r>
        <w:rPr>
          <w:spacing w:val="-2"/>
          <w:sz w:val="20"/>
        </w:rPr>
        <w:t> </w:t>
      </w:r>
      <w:r>
        <w:rPr>
          <w:sz w:val="20"/>
        </w:rPr>
        <w:t>Câmara</w:t>
      </w:r>
      <w:r>
        <w:rPr>
          <w:spacing w:val="-2"/>
          <w:sz w:val="20"/>
        </w:rPr>
        <w:t> </w:t>
      </w:r>
      <w:r>
        <w:rPr>
          <w:sz w:val="20"/>
        </w:rPr>
        <w:t>Comercializadora</w:t>
      </w:r>
      <w:r>
        <w:rPr>
          <w:spacing w:val="-2"/>
          <w:sz w:val="20"/>
        </w:rPr>
        <w:t> </w:t>
      </w:r>
      <w:r>
        <w:rPr>
          <w:sz w:val="20"/>
        </w:rPr>
        <w:t>de Energia Elétrica ‐ CCEE, em função de diferença valorada ao Preço de Liquidação das Diferenças –</w:t>
      </w:r>
      <w:r>
        <w:rPr>
          <w:spacing w:val="-5"/>
          <w:sz w:val="20"/>
        </w:rPr>
        <w:t> </w:t>
      </w:r>
      <w:r>
        <w:rPr>
          <w:sz w:val="20"/>
        </w:rPr>
        <w:t>PLD.</w:t>
      </w:r>
    </w:p>
    <w:p>
      <w:pPr>
        <w:pStyle w:val="BodyText"/>
        <w:spacing w:before="76"/>
        <w:rPr>
          <w:sz w:val="20"/>
        </w:rPr>
      </w:pPr>
    </w:p>
    <w:p>
      <w:pPr>
        <w:pStyle w:val="Heading3"/>
        <w:numPr>
          <w:ilvl w:val="0"/>
          <w:numId w:val="15"/>
        </w:numPr>
        <w:tabs>
          <w:tab w:pos="718" w:val="left" w:leader="none"/>
        </w:tabs>
        <w:spacing w:line="240" w:lineRule="auto" w:before="1" w:after="0"/>
        <w:ind w:left="718" w:right="0" w:hanging="568"/>
        <w:jc w:val="left"/>
      </w:pPr>
      <w:bookmarkStart w:name="_TOC_250003" w:id="22"/>
      <w:r>
        <w:rPr/>
        <w:t>Resultado</w:t>
      </w:r>
      <w:r>
        <w:rPr>
          <w:spacing w:val="-10"/>
        </w:rPr>
        <w:t> </w:t>
      </w:r>
      <w:r>
        <w:rPr/>
        <w:t>financeiro,</w:t>
      </w:r>
      <w:r>
        <w:rPr>
          <w:spacing w:val="-9"/>
        </w:rPr>
        <w:t> </w:t>
      </w:r>
      <w:bookmarkEnd w:id="22"/>
      <w:r>
        <w:rPr>
          <w:spacing w:val="-2"/>
        </w:rPr>
        <w:t>líquido</w:t>
      </w:r>
    </w:p>
    <w:p>
      <w:pPr>
        <w:pStyle w:val="BodyText"/>
        <w:spacing w:before="11"/>
        <w:rPr>
          <w:b/>
          <w:sz w:val="19"/>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87"/>
        <w:gridCol w:w="1726"/>
        <w:gridCol w:w="996"/>
      </w:tblGrid>
      <w:tr>
        <w:trPr>
          <w:trHeight w:val="228" w:hRule="atLeast"/>
        </w:trPr>
        <w:tc>
          <w:tcPr>
            <w:tcW w:w="7487" w:type="dxa"/>
          </w:tcPr>
          <w:p>
            <w:pPr>
              <w:pStyle w:val="TableParagraph"/>
              <w:rPr>
                <w:rFonts w:ascii="Times New Roman"/>
                <w:sz w:val="16"/>
              </w:rPr>
            </w:pPr>
          </w:p>
        </w:tc>
        <w:tc>
          <w:tcPr>
            <w:tcW w:w="1726" w:type="dxa"/>
            <w:tcBorders>
              <w:top w:val="single" w:sz="4" w:space="0" w:color="000000"/>
              <w:bottom w:val="single" w:sz="24" w:space="0" w:color="000000"/>
            </w:tcBorders>
          </w:tcPr>
          <w:p>
            <w:pPr>
              <w:pStyle w:val="TableParagraph"/>
              <w:spacing w:line="130" w:lineRule="exact" w:before="42"/>
              <w:ind w:right="415"/>
              <w:jc w:val="right"/>
              <w:rPr>
                <w:b/>
                <w:sz w:val="18"/>
              </w:rPr>
            </w:pPr>
            <w:r>
              <w:rPr>
                <w:b/>
                <w:spacing w:val="-4"/>
                <w:sz w:val="18"/>
              </w:rPr>
              <w:t>2022</w:t>
            </w:r>
          </w:p>
        </w:tc>
        <w:tc>
          <w:tcPr>
            <w:tcW w:w="996" w:type="dxa"/>
            <w:tcBorders>
              <w:top w:val="single" w:sz="4" w:space="0" w:color="000000"/>
              <w:bottom w:val="single" w:sz="24" w:space="0" w:color="000000"/>
            </w:tcBorders>
          </w:tcPr>
          <w:p>
            <w:pPr>
              <w:pStyle w:val="TableParagraph"/>
              <w:spacing w:line="130" w:lineRule="exact" w:before="42"/>
              <w:jc w:val="right"/>
              <w:rPr>
                <w:b/>
                <w:sz w:val="18"/>
              </w:rPr>
            </w:pPr>
            <w:r>
              <w:rPr>
                <w:b/>
                <w:spacing w:val="-4"/>
                <w:sz w:val="18"/>
              </w:rPr>
              <w:t>2021</w:t>
            </w:r>
          </w:p>
        </w:tc>
      </w:tr>
      <w:tr>
        <w:trPr>
          <w:trHeight w:val="216" w:hRule="atLeast"/>
        </w:trPr>
        <w:tc>
          <w:tcPr>
            <w:tcW w:w="7487" w:type="dxa"/>
          </w:tcPr>
          <w:p>
            <w:pPr>
              <w:pStyle w:val="TableParagraph"/>
              <w:spacing w:line="174" w:lineRule="exact" w:before="22"/>
              <w:ind w:left="50"/>
              <w:rPr>
                <w:b/>
                <w:sz w:val="18"/>
              </w:rPr>
            </w:pPr>
            <w:r>
              <w:rPr>
                <w:b/>
                <w:sz w:val="18"/>
              </w:rPr>
              <w:t>Receita</w:t>
            </w:r>
            <w:r>
              <w:rPr>
                <w:b/>
                <w:spacing w:val="-3"/>
                <w:sz w:val="18"/>
              </w:rPr>
              <w:t> </w:t>
            </w:r>
            <w:r>
              <w:rPr>
                <w:b/>
                <w:spacing w:val="-2"/>
                <w:sz w:val="18"/>
              </w:rPr>
              <w:t>financeira</w:t>
            </w:r>
          </w:p>
        </w:tc>
        <w:tc>
          <w:tcPr>
            <w:tcW w:w="1726" w:type="dxa"/>
            <w:tcBorders>
              <w:top w:val="single" w:sz="24" w:space="0" w:color="000000"/>
              <w:bottom w:val="single" w:sz="18" w:space="0" w:color="000000"/>
            </w:tcBorders>
          </w:tcPr>
          <w:p>
            <w:pPr>
              <w:pStyle w:val="TableParagraph"/>
              <w:spacing w:line="152" w:lineRule="exact" w:before="59"/>
              <w:ind w:right="414"/>
              <w:jc w:val="right"/>
              <w:rPr>
                <w:b/>
                <w:sz w:val="18"/>
              </w:rPr>
            </w:pPr>
            <w:r>
              <w:rPr>
                <w:b/>
                <w:spacing w:val="-2"/>
                <w:sz w:val="18"/>
              </w:rPr>
              <w:t>6.046</w:t>
            </w:r>
          </w:p>
        </w:tc>
        <w:tc>
          <w:tcPr>
            <w:tcW w:w="996" w:type="dxa"/>
            <w:tcBorders>
              <w:top w:val="single" w:sz="24" w:space="0" w:color="000000"/>
              <w:bottom w:val="single" w:sz="18" w:space="0" w:color="000000"/>
            </w:tcBorders>
          </w:tcPr>
          <w:p>
            <w:pPr>
              <w:pStyle w:val="TableParagraph"/>
              <w:spacing w:line="152" w:lineRule="exact" w:before="59"/>
              <w:jc w:val="right"/>
              <w:rPr>
                <w:b/>
                <w:sz w:val="18"/>
              </w:rPr>
            </w:pPr>
            <w:r>
              <w:rPr>
                <w:b/>
                <w:spacing w:val="-2"/>
                <w:sz w:val="18"/>
              </w:rPr>
              <w:t>3.511</w:t>
            </w:r>
          </w:p>
        </w:tc>
      </w:tr>
      <w:tr>
        <w:trPr>
          <w:trHeight w:val="293" w:hRule="atLeast"/>
        </w:trPr>
        <w:tc>
          <w:tcPr>
            <w:tcW w:w="7487" w:type="dxa"/>
          </w:tcPr>
          <w:p>
            <w:pPr>
              <w:pStyle w:val="TableParagraph"/>
              <w:spacing w:before="32"/>
              <w:ind w:left="50"/>
              <w:rPr>
                <w:sz w:val="18"/>
              </w:rPr>
            </w:pPr>
            <w:r>
              <w:rPr>
                <w:sz w:val="18"/>
              </w:rPr>
              <w:t>Rendimentos</w:t>
            </w:r>
            <w:r>
              <w:rPr>
                <w:spacing w:val="-3"/>
                <w:sz w:val="18"/>
              </w:rPr>
              <w:t> </w:t>
            </w:r>
            <w:r>
              <w:rPr>
                <w:sz w:val="18"/>
              </w:rPr>
              <w:t>de</w:t>
            </w:r>
            <w:r>
              <w:rPr>
                <w:spacing w:val="-4"/>
                <w:sz w:val="18"/>
              </w:rPr>
              <w:t> </w:t>
            </w:r>
            <w:r>
              <w:rPr>
                <w:sz w:val="18"/>
              </w:rPr>
              <w:t>recebíveis</w:t>
            </w:r>
            <w:r>
              <w:rPr>
                <w:spacing w:val="-2"/>
                <w:sz w:val="18"/>
              </w:rPr>
              <w:t> </w:t>
            </w:r>
            <w:r>
              <w:rPr>
                <w:sz w:val="18"/>
              </w:rPr>
              <w:t>de</w:t>
            </w:r>
            <w:r>
              <w:rPr>
                <w:spacing w:val="-3"/>
                <w:sz w:val="18"/>
              </w:rPr>
              <w:t> </w:t>
            </w:r>
            <w:r>
              <w:rPr>
                <w:sz w:val="18"/>
              </w:rPr>
              <w:t>ativos</w:t>
            </w:r>
            <w:r>
              <w:rPr>
                <w:spacing w:val="-3"/>
                <w:sz w:val="18"/>
              </w:rPr>
              <w:t> </w:t>
            </w:r>
            <w:r>
              <w:rPr>
                <w:spacing w:val="-2"/>
                <w:sz w:val="18"/>
              </w:rPr>
              <w:t>financeiros</w:t>
            </w:r>
          </w:p>
        </w:tc>
        <w:tc>
          <w:tcPr>
            <w:tcW w:w="1726" w:type="dxa"/>
            <w:tcBorders>
              <w:top w:val="single" w:sz="18" w:space="0" w:color="000000"/>
            </w:tcBorders>
          </w:tcPr>
          <w:p>
            <w:pPr>
              <w:pStyle w:val="TableParagraph"/>
              <w:spacing w:before="54"/>
              <w:ind w:right="415"/>
              <w:jc w:val="right"/>
              <w:rPr>
                <w:sz w:val="18"/>
              </w:rPr>
            </w:pPr>
            <w:r>
              <w:rPr>
                <w:spacing w:val="-2"/>
                <w:sz w:val="18"/>
              </w:rPr>
              <w:t>5.585</w:t>
            </w:r>
          </w:p>
        </w:tc>
        <w:tc>
          <w:tcPr>
            <w:tcW w:w="996" w:type="dxa"/>
            <w:tcBorders>
              <w:top w:val="single" w:sz="18" w:space="0" w:color="000000"/>
            </w:tcBorders>
          </w:tcPr>
          <w:p>
            <w:pPr>
              <w:pStyle w:val="TableParagraph"/>
              <w:spacing w:before="54"/>
              <w:ind w:right="58"/>
              <w:jc w:val="right"/>
              <w:rPr>
                <w:sz w:val="18"/>
              </w:rPr>
            </w:pPr>
            <w:r>
              <w:rPr>
                <w:spacing w:val="-2"/>
                <w:sz w:val="18"/>
              </w:rPr>
              <w:t>3.102</w:t>
            </w:r>
          </w:p>
        </w:tc>
      </w:tr>
      <w:tr>
        <w:trPr>
          <w:trHeight w:val="270" w:hRule="atLeast"/>
        </w:trPr>
        <w:tc>
          <w:tcPr>
            <w:tcW w:w="7487" w:type="dxa"/>
          </w:tcPr>
          <w:p>
            <w:pPr>
              <w:pStyle w:val="TableParagraph"/>
              <w:spacing w:before="8"/>
              <w:ind w:left="50"/>
              <w:rPr>
                <w:sz w:val="18"/>
              </w:rPr>
            </w:pPr>
            <w:r>
              <w:rPr>
                <w:sz w:val="18"/>
              </w:rPr>
              <w:t>Juros</w:t>
            </w:r>
            <w:r>
              <w:rPr>
                <w:spacing w:val="-5"/>
                <w:sz w:val="18"/>
              </w:rPr>
              <w:t> </w:t>
            </w:r>
            <w:r>
              <w:rPr>
                <w:sz w:val="18"/>
              </w:rPr>
              <w:t>recebidos</w:t>
            </w:r>
            <w:r>
              <w:rPr>
                <w:spacing w:val="-4"/>
                <w:sz w:val="18"/>
              </w:rPr>
              <w:t> </w:t>
            </w:r>
            <w:r>
              <w:rPr>
                <w:sz w:val="18"/>
              </w:rPr>
              <w:t>de</w:t>
            </w:r>
            <w:r>
              <w:rPr>
                <w:spacing w:val="-4"/>
                <w:sz w:val="18"/>
              </w:rPr>
              <w:t> </w:t>
            </w:r>
            <w:r>
              <w:rPr>
                <w:spacing w:val="-2"/>
                <w:sz w:val="18"/>
              </w:rPr>
              <w:t>clientes</w:t>
            </w:r>
          </w:p>
        </w:tc>
        <w:tc>
          <w:tcPr>
            <w:tcW w:w="1726" w:type="dxa"/>
          </w:tcPr>
          <w:p>
            <w:pPr>
              <w:pStyle w:val="TableParagraph"/>
              <w:spacing w:before="8"/>
              <w:ind w:right="414"/>
              <w:jc w:val="right"/>
              <w:rPr>
                <w:sz w:val="18"/>
              </w:rPr>
            </w:pPr>
            <w:r>
              <w:rPr>
                <w:spacing w:val="-5"/>
                <w:sz w:val="18"/>
              </w:rPr>
              <w:t>182</w:t>
            </w:r>
          </w:p>
        </w:tc>
        <w:tc>
          <w:tcPr>
            <w:tcW w:w="996" w:type="dxa"/>
          </w:tcPr>
          <w:p>
            <w:pPr>
              <w:pStyle w:val="TableParagraph"/>
              <w:spacing w:before="8"/>
              <w:ind w:right="58"/>
              <w:jc w:val="right"/>
              <w:rPr>
                <w:sz w:val="18"/>
              </w:rPr>
            </w:pPr>
            <w:r>
              <w:rPr>
                <w:spacing w:val="-5"/>
                <w:sz w:val="18"/>
              </w:rPr>
              <w:t>297</w:t>
            </w:r>
          </w:p>
        </w:tc>
      </w:tr>
      <w:tr>
        <w:trPr>
          <w:trHeight w:val="203" w:hRule="atLeast"/>
        </w:trPr>
        <w:tc>
          <w:tcPr>
            <w:tcW w:w="7487" w:type="dxa"/>
          </w:tcPr>
          <w:p>
            <w:pPr>
              <w:pStyle w:val="TableParagraph"/>
              <w:spacing w:line="174" w:lineRule="exact" w:before="9"/>
              <w:ind w:left="50"/>
              <w:rPr>
                <w:sz w:val="18"/>
              </w:rPr>
            </w:pPr>
            <w:r>
              <w:rPr>
                <w:sz w:val="18"/>
              </w:rPr>
              <w:t>Juros</w:t>
            </w:r>
            <w:r>
              <w:rPr>
                <w:spacing w:val="-4"/>
                <w:sz w:val="18"/>
              </w:rPr>
              <w:t> </w:t>
            </w:r>
            <w:r>
              <w:rPr>
                <w:sz w:val="18"/>
              </w:rPr>
              <w:t>sobre</w:t>
            </w:r>
            <w:r>
              <w:rPr>
                <w:spacing w:val="-3"/>
                <w:sz w:val="18"/>
              </w:rPr>
              <w:t> </w:t>
            </w:r>
            <w:r>
              <w:rPr>
                <w:sz w:val="18"/>
              </w:rPr>
              <w:t>depósitos</w:t>
            </w:r>
            <w:r>
              <w:rPr>
                <w:spacing w:val="-3"/>
                <w:sz w:val="18"/>
              </w:rPr>
              <w:t> </w:t>
            </w:r>
            <w:r>
              <w:rPr>
                <w:spacing w:val="-2"/>
                <w:sz w:val="18"/>
              </w:rPr>
              <w:t>judiciais</w:t>
            </w:r>
          </w:p>
        </w:tc>
        <w:tc>
          <w:tcPr>
            <w:tcW w:w="1726" w:type="dxa"/>
            <w:tcBorders>
              <w:bottom w:val="single" w:sz="18" w:space="0" w:color="000000"/>
            </w:tcBorders>
          </w:tcPr>
          <w:p>
            <w:pPr>
              <w:pStyle w:val="TableParagraph"/>
              <w:spacing w:line="154" w:lineRule="exact" w:before="9"/>
              <w:ind w:right="415"/>
              <w:jc w:val="right"/>
              <w:rPr>
                <w:sz w:val="18"/>
              </w:rPr>
            </w:pPr>
            <w:r>
              <w:rPr>
                <w:spacing w:val="-5"/>
                <w:sz w:val="18"/>
              </w:rPr>
              <w:t>279</w:t>
            </w:r>
          </w:p>
        </w:tc>
        <w:tc>
          <w:tcPr>
            <w:tcW w:w="996" w:type="dxa"/>
            <w:tcBorders>
              <w:bottom w:val="single" w:sz="18" w:space="0" w:color="000000"/>
            </w:tcBorders>
          </w:tcPr>
          <w:p>
            <w:pPr>
              <w:pStyle w:val="TableParagraph"/>
              <w:spacing w:line="154" w:lineRule="exact" w:before="9"/>
              <w:jc w:val="right"/>
              <w:rPr>
                <w:sz w:val="18"/>
              </w:rPr>
            </w:pPr>
            <w:r>
              <w:rPr>
                <w:spacing w:val="-5"/>
                <w:sz w:val="18"/>
              </w:rPr>
              <w:t>112</w:t>
            </w:r>
          </w:p>
        </w:tc>
      </w:tr>
      <w:tr>
        <w:trPr>
          <w:trHeight w:val="220" w:hRule="atLeast"/>
        </w:trPr>
        <w:tc>
          <w:tcPr>
            <w:tcW w:w="7487" w:type="dxa"/>
          </w:tcPr>
          <w:p>
            <w:pPr>
              <w:pStyle w:val="TableParagraph"/>
              <w:spacing w:line="174" w:lineRule="exact" w:before="26"/>
              <w:ind w:left="50"/>
              <w:rPr>
                <w:b/>
                <w:sz w:val="18"/>
              </w:rPr>
            </w:pPr>
            <w:r>
              <w:rPr>
                <w:b/>
                <w:sz w:val="18"/>
              </w:rPr>
              <w:t>Despesas</w:t>
            </w:r>
            <w:r>
              <w:rPr>
                <w:b/>
                <w:spacing w:val="-2"/>
                <w:sz w:val="18"/>
              </w:rPr>
              <w:t> financeiras</w:t>
            </w:r>
          </w:p>
        </w:tc>
        <w:tc>
          <w:tcPr>
            <w:tcW w:w="1726" w:type="dxa"/>
            <w:tcBorders>
              <w:top w:val="single" w:sz="18" w:space="0" w:color="000000"/>
              <w:bottom w:val="single" w:sz="18" w:space="0" w:color="000000"/>
            </w:tcBorders>
          </w:tcPr>
          <w:p>
            <w:pPr>
              <w:pStyle w:val="TableParagraph"/>
              <w:spacing w:line="167" w:lineRule="exact" w:before="46"/>
              <w:ind w:right="414"/>
              <w:jc w:val="right"/>
              <w:rPr>
                <w:b/>
                <w:sz w:val="18"/>
              </w:rPr>
            </w:pPr>
            <w:r>
              <w:rPr>
                <w:b/>
                <w:spacing w:val="-2"/>
                <w:sz w:val="18"/>
              </w:rPr>
              <w:t>(216)</w:t>
            </w:r>
          </w:p>
        </w:tc>
        <w:tc>
          <w:tcPr>
            <w:tcW w:w="996" w:type="dxa"/>
            <w:tcBorders>
              <w:top w:val="single" w:sz="18" w:space="0" w:color="000000"/>
              <w:bottom w:val="single" w:sz="18" w:space="0" w:color="000000"/>
            </w:tcBorders>
          </w:tcPr>
          <w:p>
            <w:pPr>
              <w:pStyle w:val="TableParagraph"/>
              <w:spacing w:line="167" w:lineRule="exact" w:before="46"/>
              <w:jc w:val="right"/>
              <w:rPr>
                <w:b/>
                <w:sz w:val="18"/>
              </w:rPr>
            </w:pPr>
            <w:r>
              <w:rPr>
                <w:b/>
                <w:spacing w:val="-5"/>
                <w:sz w:val="18"/>
              </w:rPr>
              <w:t>(4)</w:t>
            </w:r>
          </w:p>
        </w:tc>
      </w:tr>
      <w:tr>
        <w:trPr>
          <w:trHeight w:val="270" w:hRule="atLeast"/>
        </w:trPr>
        <w:tc>
          <w:tcPr>
            <w:tcW w:w="7487" w:type="dxa"/>
          </w:tcPr>
          <w:p>
            <w:pPr>
              <w:pStyle w:val="TableParagraph"/>
              <w:spacing w:line="219" w:lineRule="exact" w:before="32"/>
              <w:ind w:left="50"/>
              <w:rPr>
                <w:sz w:val="18"/>
              </w:rPr>
            </w:pPr>
            <w:r>
              <w:rPr>
                <w:sz w:val="18"/>
              </w:rPr>
              <w:t>Despesas</w:t>
            </w:r>
            <w:r>
              <w:rPr>
                <w:spacing w:val="-3"/>
                <w:sz w:val="18"/>
              </w:rPr>
              <w:t> </w:t>
            </w:r>
            <w:r>
              <w:rPr>
                <w:sz w:val="18"/>
              </w:rPr>
              <w:t>financeiras</w:t>
            </w:r>
            <w:r>
              <w:rPr>
                <w:spacing w:val="-3"/>
                <w:sz w:val="18"/>
              </w:rPr>
              <w:t> </w:t>
            </w:r>
            <w:r>
              <w:rPr>
                <w:sz w:val="18"/>
              </w:rPr>
              <w:t>‐</w:t>
            </w:r>
            <w:r>
              <w:rPr>
                <w:spacing w:val="-2"/>
                <w:sz w:val="18"/>
              </w:rPr>
              <w:t> terceiros</w:t>
            </w:r>
          </w:p>
        </w:tc>
        <w:tc>
          <w:tcPr>
            <w:tcW w:w="1726" w:type="dxa"/>
            <w:tcBorders>
              <w:top w:val="single" w:sz="18" w:space="0" w:color="000000"/>
            </w:tcBorders>
          </w:tcPr>
          <w:p>
            <w:pPr>
              <w:pStyle w:val="TableParagraph"/>
              <w:spacing w:line="219" w:lineRule="exact" w:before="38"/>
              <w:ind w:right="415"/>
              <w:jc w:val="right"/>
              <w:rPr>
                <w:sz w:val="18"/>
              </w:rPr>
            </w:pPr>
            <w:r>
              <w:rPr>
                <w:spacing w:val="-5"/>
                <w:sz w:val="18"/>
              </w:rPr>
              <w:t>(1)</w:t>
            </w:r>
          </w:p>
        </w:tc>
        <w:tc>
          <w:tcPr>
            <w:tcW w:w="996" w:type="dxa"/>
            <w:tcBorders>
              <w:top w:val="single" w:sz="18" w:space="0" w:color="000000"/>
            </w:tcBorders>
          </w:tcPr>
          <w:p>
            <w:pPr>
              <w:pStyle w:val="TableParagraph"/>
              <w:spacing w:line="219" w:lineRule="exact" w:before="38"/>
              <w:ind w:right="58"/>
              <w:jc w:val="right"/>
              <w:rPr>
                <w:sz w:val="18"/>
              </w:rPr>
            </w:pPr>
            <w:r>
              <w:rPr>
                <w:spacing w:val="-5"/>
                <w:sz w:val="18"/>
              </w:rPr>
              <w:t>(3)</w:t>
            </w:r>
          </w:p>
        </w:tc>
      </w:tr>
      <w:tr>
        <w:trPr>
          <w:trHeight w:val="290" w:hRule="atLeast"/>
        </w:trPr>
        <w:tc>
          <w:tcPr>
            <w:tcW w:w="7487" w:type="dxa"/>
          </w:tcPr>
          <w:p>
            <w:pPr>
              <w:pStyle w:val="TableParagraph"/>
              <w:spacing w:before="29"/>
              <w:ind w:left="50"/>
              <w:rPr>
                <w:sz w:val="18"/>
              </w:rPr>
            </w:pPr>
            <w:r>
              <w:rPr>
                <w:sz w:val="18"/>
              </w:rPr>
              <w:t>Despesas</w:t>
            </w:r>
            <w:r>
              <w:rPr>
                <w:spacing w:val="-2"/>
                <w:sz w:val="18"/>
              </w:rPr>
              <w:t> </w:t>
            </w:r>
            <w:r>
              <w:rPr>
                <w:sz w:val="18"/>
              </w:rPr>
              <w:t>financeiras</w:t>
            </w:r>
            <w:r>
              <w:rPr>
                <w:spacing w:val="-3"/>
                <w:sz w:val="18"/>
              </w:rPr>
              <w:t> </w:t>
            </w:r>
            <w:r>
              <w:rPr>
                <w:sz w:val="18"/>
              </w:rPr>
              <w:t>‐</w:t>
            </w:r>
            <w:r>
              <w:rPr>
                <w:spacing w:val="-2"/>
                <w:sz w:val="18"/>
              </w:rPr>
              <w:t> </w:t>
            </w:r>
            <w:r>
              <w:rPr>
                <w:sz w:val="18"/>
              </w:rPr>
              <w:t>baixa</w:t>
            </w:r>
            <w:r>
              <w:rPr>
                <w:spacing w:val="-3"/>
                <w:sz w:val="18"/>
              </w:rPr>
              <w:t> </w:t>
            </w:r>
            <w:r>
              <w:rPr>
                <w:sz w:val="18"/>
              </w:rPr>
              <w:t>de</w:t>
            </w:r>
            <w:r>
              <w:rPr>
                <w:spacing w:val="-2"/>
                <w:sz w:val="18"/>
              </w:rPr>
              <w:t> títulos</w:t>
            </w:r>
          </w:p>
        </w:tc>
        <w:tc>
          <w:tcPr>
            <w:tcW w:w="1726" w:type="dxa"/>
          </w:tcPr>
          <w:p>
            <w:pPr>
              <w:pStyle w:val="TableParagraph"/>
              <w:spacing w:before="29"/>
              <w:ind w:right="415"/>
              <w:jc w:val="right"/>
              <w:rPr>
                <w:sz w:val="18"/>
              </w:rPr>
            </w:pPr>
            <w:r>
              <w:rPr>
                <w:spacing w:val="-2"/>
                <w:sz w:val="18"/>
              </w:rPr>
              <w:t>(215)</w:t>
            </w:r>
          </w:p>
        </w:tc>
        <w:tc>
          <w:tcPr>
            <w:tcW w:w="996" w:type="dxa"/>
          </w:tcPr>
          <w:p>
            <w:pPr>
              <w:pStyle w:val="TableParagraph"/>
              <w:spacing w:line="206" w:lineRule="exact"/>
              <w:ind w:right="59"/>
              <w:jc w:val="right"/>
              <w:rPr>
                <w:sz w:val="18"/>
              </w:rPr>
            </w:pPr>
            <w:r>
              <w:rPr>
                <w:spacing w:val="-10"/>
                <w:sz w:val="18"/>
              </w:rPr>
              <w:t>‐</w:t>
            </w:r>
          </w:p>
        </w:tc>
      </w:tr>
      <w:tr>
        <w:trPr>
          <w:trHeight w:val="202" w:hRule="atLeast"/>
        </w:trPr>
        <w:tc>
          <w:tcPr>
            <w:tcW w:w="7487" w:type="dxa"/>
          </w:tcPr>
          <w:p>
            <w:pPr>
              <w:pStyle w:val="TableParagraph"/>
              <w:spacing w:line="174" w:lineRule="exact" w:before="8"/>
              <w:ind w:left="50"/>
              <w:rPr>
                <w:sz w:val="18"/>
              </w:rPr>
            </w:pPr>
            <w:r>
              <w:rPr>
                <w:sz w:val="18"/>
              </w:rPr>
              <w:t>Despesas</w:t>
            </w:r>
            <w:r>
              <w:rPr>
                <w:spacing w:val="-2"/>
                <w:sz w:val="18"/>
              </w:rPr>
              <w:t> </w:t>
            </w:r>
            <w:r>
              <w:rPr>
                <w:sz w:val="18"/>
              </w:rPr>
              <w:t>financeiras</w:t>
            </w:r>
            <w:r>
              <w:rPr>
                <w:spacing w:val="-2"/>
                <w:sz w:val="18"/>
              </w:rPr>
              <w:t> </w:t>
            </w:r>
            <w:r>
              <w:rPr>
                <w:sz w:val="18"/>
              </w:rPr>
              <w:t>‐</w:t>
            </w:r>
            <w:r>
              <w:rPr>
                <w:spacing w:val="-3"/>
                <w:sz w:val="18"/>
              </w:rPr>
              <w:t> </w:t>
            </w:r>
            <w:r>
              <w:rPr>
                <w:sz w:val="18"/>
              </w:rPr>
              <w:t>direito</w:t>
            </w:r>
            <w:r>
              <w:rPr>
                <w:spacing w:val="-2"/>
                <w:sz w:val="18"/>
              </w:rPr>
              <w:t> </w:t>
            </w:r>
            <w:r>
              <w:rPr>
                <w:sz w:val="18"/>
              </w:rPr>
              <w:t>de</w:t>
            </w:r>
            <w:r>
              <w:rPr>
                <w:spacing w:val="-3"/>
                <w:sz w:val="18"/>
              </w:rPr>
              <w:t> </w:t>
            </w:r>
            <w:r>
              <w:rPr>
                <w:sz w:val="18"/>
              </w:rPr>
              <w:t>uso</w:t>
            </w:r>
            <w:r>
              <w:rPr>
                <w:spacing w:val="-2"/>
                <w:sz w:val="18"/>
              </w:rPr>
              <w:t> </w:t>
            </w:r>
            <w:r>
              <w:rPr>
                <w:sz w:val="18"/>
              </w:rPr>
              <w:t>bens</w:t>
            </w:r>
            <w:r>
              <w:rPr>
                <w:spacing w:val="-2"/>
                <w:sz w:val="18"/>
              </w:rPr>
              <w:t> terceiros</w:t>
            </w:r>
          </w:p>
        </w:tc>
        <w:tc>
          <w:tcPr>
            <w:tcW w:w="1726" w:type="dxa"/>
            <w:tcBorders>
              <w:bottom w:val="single" w:sz="18" w:space="0" w:color="000000"/>
            </w:tcBorders>
          </w:tcPr>
          <w:p>
            <w:pPr>
              <w:pStyle w:val="TableParagraph"/>
              <w:spacing w:line="157" w:lineRule="exact" w:before="8"/>
              <w:ind w:right="414"/>
              <w:jc w:val="right"/>
              <w:rPr>
                <w:sz w:val="18"/>
              </w:rPr>
            </w:pPr>
            <w:r>
              <w:rPr>
                <w:spacing w:val="-10"/>
                <w:sz w:val="18"/>
              </w:rPr>
              <w:t>‐</w:t>
            </w:r>
          </w:p>
        </w:tc>
        <w:tc>
          <w:tcPr>
            <w:tcW w:w="996" w:type="dxa"/>
            <w:tcBorders>
              <w:bottom w:val="single" w:sz="18" w:space="0" w:color="000000"/>
            </w:tcBorders>
          </w:tcPr>
          <w:p>
            <w:pPr>
              <w:pStyle w:val="TableParagraph"/>
              <w:spacing w:line="157" w:lineRule="exact" w:before="8"/>
              <w:jc w:val="right"/>
              <w:rPr>
                <w:sz w:val="18"/>
              </w:rPr>
            </w:pPr>
            <w:r>
              <w:rPr>
                <w:spacing w:val="-5"/>
                <w:sz w:val="18"/>
              </w:rPr>
              <w:t>(1)</w:t>
            </w:r>
          </w:p>
        </w:tc>
      </w:tr>
      <w:tr>
        <w:trPr>
          <w:trHeight w:val="224" w:hRule="atLeast"/>
        </w:trPr>
        <w:tc>
          <w:tcPr>
            <w:tcW w:w="7487" w:type="dxa"/>
          </w:tcPr>
          <w:p>
            <w:pPr>
              <w:pStyle w:val="TableParagraph"/>
              <w:spacing w:line="162" w:lineRule="exact" w:before="31"/>
              <w:ind w:left="50"/>
              <w:rPr>
                <w:b/>
                <w:sz w:val="18"/>
              </w:rPr>
            </w:pPr>
            <w:r>
              <w:rPr>
                <w:b/>
                <w:sz w:val="18"/>
              </w:rPr>
              <w:t>Variações</w:t>
            </w:r>
            <w:r>
              <w:rPr>
                <w:b/>
                <w:spacing w:val="-2"/>
                <w:sz w:val="18"/>
              </w:rPr>
              <w:t> </w:t>
            </w:r>
            <w:r>
              <w:rPr>
                <w:b/>
                <w:sz w:val="18"/>
              </w:rPr>
              <w:t>monetárias</w:t>
            </w:r>
            <w:r>
              <w:rPr>
                <w:b/>
                <w:spacing w:val="-3"/>
                <w:sz w:val="18"/>
              </w:rPr>
              <w:t> </w:t>
            </w:r>
            <w:r>
              <w:rPr>
                <w:b/>
                <w:sz w:val="18"/>
              </w:rPr>
              <w:t>e</w:t>
            </w:r>
            <w:r>
              <w:rPr>
                <w:b/>
                <w:spacing w:val="-2"/>
                <w:sz w:val="18"/>
              </w:rPr>
              <w:t> </w:t>
            </w:r>
            <w:r>
              <w:rPr>
                <w:b/>
                <w:sz w:val="18"/>
              </w:rPr>
              <w:t>cambiais,</w:t>
            </w:r>
            <w:r>
              <w:rPr>
                <w:b/>
                <w:spacing w:val="-1"/>
                <w:sz w:val="18"/>
              </w:rPr>
              <w:t> </w:t>
            </w:r>
            <w:r>
              <w:rPr>
                <w:b/>
                <w:spacing w:val="-2"/>
                <w:sz w:val="18"/>
              </w:rPr>
              <w:t>líquidas</w:t>
            </w:r>
          </w:p>
        </w:tc>
        <w:tc>
          <w:tcPr>
            <w:tcW w:w="1726" w:type="dxa"/>
            <w:tcBorders>
              <w:top w:val="single" w:sz="18" w:space="0" w:color="000000"/>
              <w:bottom w:val="single" w:sz="18" w:space="0" w:color="000000"/>
            </w:tcBorders>
          </w:tcPr>
          <w:p>
            <w:pPr>
              <w:pStyle w:val="TableParagraph"/>
              <w:spacing w:line="162" w:lineRule="exact" w:before="47"/>
              <w:ind w:right="415"/>
              <w:jc w:val="right"/>
              <w:rPr>
                <w:b/>
                <w:sz w:val="18"/>
              </w:rPr>
            </w:pPr>
            <w:r>
              <w:rPr>
                <w:b/>
                <w:spacing w:val="-2"/>
                <w:sz w:val="18"/>
              </w:rPr>
              <w:t>19.135</w:t>
            </w:r>
          </w:p>
        </w:tc>
        <w:tc>
          <w:tcPr>
            <w:tcW w:w="996" w:type="dxa"/>
            <w:tcBorders>
              <w:top w:val="single" w:sz="18" w:space="0" w:color="000000"/>
              <w:bottom w:val="single" w:sz="18" w:space="0" w:color="000000"/>
            </w:tcBorders>
          </w:tcPr>
          <w:p>
            <w:pPr>
              <w:pStyle w:val="TableParagraph"/>
              <w:spacing w:line="162" w:lineRule="exact" w:before="47"/>
              <w:ind w:right="1"/>
              <w:jc w:val="right"/>
              <w:rPr>
                <w:b/>
                <w:sz w:val="18"/>
              </w:rPr>
            </w:pPr>
            <w:r>
              <w:rPr>
                <w:b/>
                <w:spacing w:val="-2"/>
                <w:sz w:val="18"/>
              </w:rPr>
              <w:t>(1.156)</w:t>
            </w:r>
          </w:p>
        </w:tc>
      </w:tr>
      <w:tr>
        <w:trPr>
          <w:trHeight w:val="293" w:hRule="atLeast"/>
        </w:trPr>
        <w:tc>
          <w:tcPr>
            <w:tcW w:w="7487" w:type="dxa"/>
          </w:tcPr>
          <w:p>
            <w:pPr>
              <w:pStyle w:val="TableParagraph"/>
              <w:spacing w:before="43"/>
              <w:ind w:left="50"/>
              <w:rPr>
                <w:sz w:val="18"/>
              </w:rPr>
            </w:pPr>
            <w:r>
              <w:rPr>
                <w:sz w:val="18"/>
              </w:rPr>
              <w:t>Atualização</w:t>
            </w:r>
            <w:r>
              <w:rPr>
                <w:spacing w:val="-7"/>
                <w:sz w:val="18"/>
              </w:rPr>
              <w:t> </w:t>
            </w:r>
            <w:r>
              <w:rPr>
                <w:sz w:val="18"/>
              </w:rPr>
              <w:t>monetária</w:t>
            </w:r>
            <w:r>
              <w:rPr>
                <w:spacing w:val="-7"/>
                <w:sz w:val="18"/>
              </w:rPr>
              <w:t> </w:t>
            </w:r>
            <w:r>
              <w:rPr>
                <w:sz w:val="18"/>
              </w:rPr>
              <w:t>sobre</w:t>
            </w:r>
            <w:r>
              <w:rPr>
                <w:spacing w:val="-7"/>
                <w:sz w:val="18"/>
              </w:rPr>
              <w:t> </w:t>
            </w:r>
            <w:r>
              <w:rPr>
                <w:sz w:val="18"/>
              </w:rPr>
              <w:t>impostos</w:t>
            </w:r>
            <w:r>
              <w:rPr>
                <w:spacing w:val="-6"/>
                <w:sz w:val="18"/>
              </w:rPr>
              <w:t> </w:t>
            </w:r>
            <w:r>
              <w:rPr>
                <w:sz w:val="18"/>
              </w:rPr>
              <w:t>a</w:t>
            </w:r>
            <w:r>
              <w:rPr>
                <w:spacing w:val="-7"/>
                <w:sz w:val="18"/>
              </w:rPr>
              <w:t> </w:t>
            </w:r>
            <w:r>
              <w:rPr>
                <w:sz w:val="18"/>
              </w:rPr>
              <w:t>recuperar/restituir</w:t>
            </w:r>
            <w:r>
              <w:rPr>
                <w:spacing w:val="-8"/>
                <w:sz w:val="18"/>
              </w:rPr>
              <w:t> </w:t>
            </w:r>
            <w:r>
              <w:rPr>
                <w:spacing w:val="-5"/>
                <w:sz w:val="18"/>
              </w:rPr>
              <w:t>(i)</w:t>
            </w:r>
          </w:p>
        </w:tc>
        <w:tc>
          <w:tcPr>
            <w:tcW w:w="1726" w:type="dxa"/>
            <w:tcBorders>
              <w:top w:val="single" w:sz="18" w:space="0" w:color="000000"/>
            </w:tcBorders>
          </w:tcPr>
          <w:p>
            <w:pPr>
              <w:pStyle w:val="TableParagraph"/>
              <w:spacing w:before="43"/>
              <w:ind w:right="415"/>
              <w:jc w:val="right"/>
              <w:rPr>
                <w:sz w:val="18"/>
              </w:rPr>
            </w:pPr>
            <w:r>
              <w:rPr>
                <w:spacing w:val="-2"/>
                <w:sz w:val="18"/>
              </w:rPr>
              <w:t>19.307</w:t>
            </w:r>
          </w:p>
        </w:tc>
        <w:tc>
          <w:tcPr>
            <w:tcW w:w="996" w:type="dxa"/>
            <w:tcBorders>
              <w:top w:val="single" w:sz="18" w:space="0" w:color="000000"/>
            </w:tcBorders>
          </w:tcPr>
          <w:p>
            <w:pPr>
              <w:pStyle w:val="TableParagraph"/>
              <w:spacing w:before="43"/>
              <w:ind w:right="58"/>
              <w:jc w:val="right"/>
              <w:rPr>
                <w:sz w:val="18"/>
              </w:rPr>
            </w:pPr>
            <w:r>
              <w:rPr>
                <w:spacing w:val="-5"/>
                <w:sz w:val="18"/>
              </w:rPr>
              <w:t>248</w:t>
            </w:r>
          </w:p>
        </w:tc>
      </w:tr>
      <w:tr>
        <w:trPr>
          <w:trHeight w:val="248" w:hRule="atLeast"/>
        </w:trPr>
        <w:tc>
          <w:tcPr>
            <w:tcW w:w="7487" w:type="dxa"/>
          </w:tcPr>
          <w:p>
            <w:pPr>
              <w:pStyle w:val="TableParagraph"/>
              <w:spacing w:line="219" w:lineRule="exact" w:before="9"/>
              <w:ind w:left="50"/>
              <w:rPr>
                <w:sz w:val="18"/>
              </w:rPr>
            </w:pPr>
            <w:r>
              <w:rPr>
                <w:sz w:val="18"/>
              </w:rPr>
              <w:t>Atualização</w:t>
            </w:r>
            <w:r>
              <w:rPr>
                <w:spacing w:val="-4"/>
                <w:sz w:val="18"/>
              </w:rPr>
              <w:t> </w:t>
            </w:r>
            <w:r>
              <w:rPr>
                <w:sz w:val="18"/>
              </w:rPr>
              <w:t>sobre</w:t>
            </w:r>
            <w:r>
              <w:rPr>
                <w:spacing w:val="-3"/>
                <w:sz w:val="18"/>
              </w:rPr>
              <w:t> </w:t>
            </w:r>
            <w:r>
              <w:rPr>
                <w:sz w:val="18"/>
              </w:rPr>
              <w:t>depósitos</w:t>
            </w:r>
            <w:r>
              <w:rPr>
                <w:spacing w:val="-3"/>
                <w:sz w:val="18"/>
              </w:rPr>
              <w:t> </w:t>
            </w:r>
            <w:r>
              <w:rPr>
                <w:spacing w:val="-2"/>
                <w:sz w:val="18"/>
              </w:rPr>
              <w:t>judidiais</w:t>
            </w:r>
          </w:p>
        </w:tc>
        <w:tc>
          <w:tcPr>
            <w:tcW w:w="1726" w:type="dxa"/>
          </w:tcPr>
          <w:p>
            <w:pPr>
              <w:pStyle w:val="TableParagraph"/>
              <w:spacing w:line="219" w:lineRule="exact" w:before="9"/>
              <w:ind w:right="414"/>
              <w:jc w:val="right"/>
              <w:rPr>
                <w:sz w:val="18"/>
              </w:rPr>
            </w:pPr>
            <w:r>
              <w:rPr>
                <w:spacing w:val="-4"/>
                <w:sz w:val="18"/>
              </w:rPr>
              <w:t>(59)</w:t>
            </w:r>
          </w:p>
        </w:tc>
        <w:tc>
          <w:tcPr>
            <w:tcW w:w="996" w:type="dxa"/>
          </w:tcPr>
          <w:p>
            <w:pPr>
              <w:pStyle w:val="TableParagraph"/>
              <w:spacing w:line="219" w:lineRule="exact" w:before="9"/>
              <w:ind w:right="56"/>
              <w:jc w:val="right"/>
              <w:rPr>
                <w:sz w:val="18"/>
              </w:rPr>
            </w:pPr>
            <w:r>
              <w:rPr>
                <w:spacing w:val="-2"/>
                <w:sz w:val="18"/>
              </w:rPr>
              <w:t>(1.257)</w:t>
            </w:r>
          </w:p>
        </w:tc>
      </w:tr>
      <w:tr>
        <w:trPr>
          <w:trHeight w:val="247" w:hRule="atLeast"/>
        </w:trPr>
        <w:tc>
          <w:tcPr>
            <w:tcW w:w="7487" w:type="dxa"/>
          </w:tcPr>
          <w:p>
            <w:pPr>
              <w:pStyle w:val="TableParagraph"/>
              <w:spacing w:line="211" w:lineRule="exact" w:before="16"/>
              <w:ind w:left="50"/>
              <w:rPr>
                <w:sz w:val="18"/>
              </w:rPr>
            </w:pPr>
            <w:r>
              <w:rPr>
                <w:sz w:val="18"/>
              </w:rPr>
              <w:t>Atualização</w:t>
            </w:r>
            <w:r>
              <w:rPr>
                <w:spacing w:val="-5"/>
                <w:sz w:val="18"/>
              </w:rPr>
              <w:t> </w:t>
            </w:r>
            <w:r>
              <w:rPr>
                <w:sz w:val="18"/>
              </w:rPr>
              <w:t>monetária</w:t>
            </w:r>
            <w:r>
              <w:rPr>
                <w:spacing w:val="-5"/>
                <w:sz w:val="18"/>
              </w:rPr>
              <w:t> </w:t>
            </w:r>
            <w:r>
              <w:rPr>
                <w:sz w:val="18"/>
              </w:rPr>
              <w:t>sobre</w:t>
            </w:r>
            <w:r>
              <w:rPr>
                <w:spacing w:val="-5"/>
                <w:sz w:val="18"/>
              </w:rPr>
              <w:t> </w:t>
            </w:r>
            <w:r>
              <w:rPr>
                <w:sz w:val="18"/>
              </w:rPr>
              <w:t>outros</w:t>
            </w:r>
            <w:r>
              <w:rPr>
                <w:spacing w:val="-5"/>
                <w:sz w:val="18"/>
              </w:rPr>
              <w:t> </w:t>
            </w:r>
            <w:r>
              <w:rPr>
                <w:spacing w:val="-2"/>
                <w:sz w:val="18"/>
              </w:rPr>
              <w:t>passivos</w:t>
            </w:r>
          </w:p>
        </w:tc>
        <w:tc>
          <w:tcPr>
            <w:tcW w:w="1726" w:type="dxa"/>
            <w:tcBorders>
              <w:bottom w:val="single" w:sz="4" w:space="0" w:color="000000"/>
            </w:tcBorders>
          </w:tcPr>
          <w:p>
            <w:pPr>
              <w:pStyle w:val="TableParagraph"/>
              <w:spacing w:line="211" w:lineRule="exact" w:before="16"/>
              <w:ind w:right="415"/>
              <w:jc w:val="right"/>
              <w:rPr>
                <w:sz w:val="18"/>
              </w:rPr>
            </w:pPr>
            <w:r>
              <w:rPr>
                <w:spacing w:val="-2"/>
                <w:sz w:val="18"/>
              </w:rPr>
              <w:t>(113)</w:t>
            </w:r>
          </w:p>
        </w:tc>
        <w:tc>
          <w:tcPr>
            <w:tcW w:w="996" w:type="dxa"/>
            <w:tcBorders>
              <w:bottom w:val="single" w:sz="4" w:space="0" w:color="000000"/>
            </w:tcBorders>
          </w:tcPr>
          <w:p>
            <w:pPr>
              <w:pStyle w:val="TableParagraph"/>
              <w:spacing w:line="206" w:lineRule="exact"/>
              <w:ind w:right="58"/>
              <w:jc w:val="right"/>
              <w:rPr>
                <w:sz w:val="18"/>
              </w:rPr>
            </w:pPr>
            <w:r>
              <w:rPr>
                <w:spacing w:val="-2"/>
                <w:sz w:val="18"/>
              </w:rPr>
              <w:t>(147)</w:t>
            </w:r>
          </w:p>
        </w:tc>
      </w:tr>
      <w:tr>
        <w:trPr>
          <w:trHeight w:val="260" w:hRule="atLeast"/>
        </w:trPr>
        <w:tc>
          <w:tcPr>
            <w:tcW w:w="7487" w:type="dxa"/>
          </w:tcPr>
          <w:p>
            <w:pPr>
              <w:pStyle w:val="TableParagraph"/>
              <w:spacing w:line="213" w:lineRule="exact" w:before="27"/>
              <w:ind w:left="50"/>
              <w:rPr>
                <w:b/>
                <w:sz w:val="18"/>
              </w:rPr>
            </w:pPr>
            <w:r>
              <w:rPr>
                <w:b/>
                <w:spacing w:val="-2"/>
                <w:sz w:val="18"/>
              </w:rPr>
              <w:t>Total</w:t>
            </w:r>
          </w:p>
        </w:tc>
        <w:tc>
          <w:tcPr>
            <w:tcW w:w="1726" w:type="dxa"/>
            <w:tcBorders>
              <w:top w:val="single" w:sz="4" w:space="0" w:color="000000"/>
              <w:bottom w:val="single" w:sz="12" w:space="0" w:color="000000"/>
            </w:tcBorders>
          </w:tcPr>
          <w:p>
            <w:pPr>
              <w:pStyle w:val="TableParagraph"/>
              <w:spacing w:line="213" w:lineRule="exact" w:before="27"/>
              <w:ind w:right="415"/>
              <w:jc w:val="right"/>
              <w:rPr>
                <w:b/>
                <w:sz w:val="18"/>
              </w:rPr>
            </w:pPr>
            <w:r>
              <w:rPr>
                <w:b/>
                <w:spacing w:val="-2"/>
                <w:sz w:val="18"/>
              </w:rPr>
              <w:t>24.965</w:t>
            </w:r>
          </w:p>
        </w:tc>
        <w:tc>
          <w:tcPr>
            <w:tcW w:w="996" w:type="dxa"/>
            <w:tcBorders>
              <w:top w:val="single" w:sz="4" w:space="0" w:color="000000"/>
              <w:bottom w:val="single" w:sz="12" w:space="0" w:color="000000"/>
            </w:tcBorders>
          </w:tcPr>
          <w:p>
            <w:pPr>
              <w:pStyle w:val="TableParagraph"/>
              <w:spacing w:line="213" w:lineRule="exact" w:before="27"/>
              <w:ind w:right="58"/>
              <w:jc w:val="right"/>
              <w:rPr>
                <w:b/>
                <w:sz w:val="18"/>
              </w:rPr>
            </w:pPr>
            <w:r>
              <w:rPr>
                <w:b/>
                <w:spacing w:val="-2"/>
                <w:sz w:val="18"/>
              </w:rPr>
              <w:t>2.351</w:t>
            </w:r>
          </w:p>
        </w:tc>
      </w:tr>
    </w:tbl>
    <w:p>
      <w:pPr>
        <w:pStyle w:val="BodyText"/>
        <w:spacing w:before="63"/>
        <w:rPr>
          <w:b/>
          <w:sz w:val="26"/>
        </w:rPr>
      </w:pPr>
    </w:p>
    <w:p>
      <w:pPr>
        <w:pStyle w:val="ListParagraph"/>
        <w:numPr>
          <w:ilvl w:val="0"/>
          <w:numId w:val="16"/>
        </w:numPr>
        <w:tabs>
          <w:tab w:pos="1231" w:val="left" w:leader="none"/>
        </w:tabs>
        <w:spacing w:line="240" w:lineRule="auto" w:before="0" w:after="0"/>
        <w:ind w:left="1231" w:right="0" w:hanging="719"/>
        <w:jc w:val="left"/>
        <w:rPr>
          <w:sz w:val="18"/>
        </w:rPr>
      </w:pPr>
      <w:r>
        <w:rPr>
          <w:sz w:val="18"/>
        </w:rPr>
        <w:t>Refere‐se</w:t>
      </w:r>
      <w:r>
        <w:rPr>
          <w:spacing w:val="-9"/>
          <w:sz w:val="18"/>
        </w:rPr>
        <w:t> </w:t>
      </w:r>
      <w:r>
        <w:rPr>
          <w:sz w:val="18"/>
        </w:rPr>
        <w:t>a</w:t>
      </w:r>
      <w:r>
        <w:rPr>
          <w:spacing w:val="-4"/>
          <w:sz w:val="18"/>
        </w:rPr>
        <w:t> </w:t>
      </w:r>
      <w:r>
        <w:rPr>
          <w:sz w:val="18"/>
        </w:rPr>
        <w:t>atualização</w:t>
      </w:r>
      <w:r>
        <w:rPr>
          <w:spacing w:val="-5"/>
          <w:sz w:val="18"/>
        </w:rPr>
        <w:t> </w:t>
      </w:r>
      <w:r>
        <w:rPr>
          <w:sz w:val="18"/>
        </w:rPr>
        <w:t>monetária</w:t>
      </w:r>
      <w:r>
        <w:rPr>
          <w:spacing w:val="-4"/>
          <w:sz w:val="18"/>
        </w:rPr>
        <w:t> </w:t>
      </w:r>
      <w:r>
        <w:rPr>
          <w:sz w:val="18"/>
        </w:rPr>
        <w:t>sobre</w:t>
      </w:r>
      <w:r>
        <w:rPr>
          <w:spacing w:val="-4"/>
          <w:sz w:val="18"/>
        </w:rPr>
        <w:t> </w:t>
      </w:r>
      <w:r>
        <w:rPr>
          <w:sz w:val="18"/>
        </w:rPr>
        <w:t>impostos</w:t>
      </w:r>
      <w:r>
        <w:rPr>
          <w:spacing w:val="-2"/>
          <w:sz w:val="18"/>
        </w:rPr>
        <w:t> </w:t>
      </w:r>
      <w:r>
        <w:rPr>
          <w:sz w:val="18"/>
        </w:rPr>
        <w:t>(PIS/COFINS)</w:t>
      </w:r>
      <w:r>
        <w:rPr>
          <w:spacing w:val="-3"/>
          <w:sz w:val="18"/>
        </w:rPr>
        <w:t> </w:t>
      </w:r>
      <w:r>
        <w:rPr>
          <w:sz w:val="18"/>
        </w:rPr>
        <w:t>restituídos</w:t>
      </w:r>
      <w:r>
        <w:rPr>
          <w:spacing w:val="-4"/>
          <w:sz w:val="18"/>
        </w:rPr>
        <w:t> </w:t>
      </w:r>
      <w:r>
        <w:rPr>
          <w:sz w:val="18"/>
        </w:rPr>
        <w:t>e</w:t>
      </w:r>
      <w:r>
        <w:rPr>
          <w:spacing w:val="-4"/>
          <w:sz w:val="18"/>
        </w:rPr>
        <w:t> </w:t>
      </w:r>
      <w:r>
        <w:rPr>
          <w:sz w:val="18"/>
        </w:rPr>
        <w:t>com</w:t>
      </w:r>
      <w:r>
        <w:rPr>
          <w:spacing w:val="-4"/>
          <w:sz w:val="18"/>
        </w:rPr>
        <w:t> </w:t>
      </w:r>
      <w:r>
        <w:rPr>
          <w:sz w:val="18"/>
        </w:rPr>
        <w:t>pedidos</w:t>
      </w:r>
      <w:r>
        <w:rPr>
          <w:spacing w:val="-4"/>
          <w:sz w:val="18"/>
        </w:rPr>
        <w:t> </w:t>
      </w:r>
      <w:r>
        <w:rPr>
          <w:sz w:val="18"/>
        </w:rPr>
        <w:t>de</w:t>
      </w:r>
      <w:r>
        <w:rPr>
          <w:spacing w:val="-4"/>
          <w:sz w:val="18"/>
        </w:rPr>
        <w:t> </w:t>
      </w:r>
      <w:r>
        <w:rPr>
          <w:sz w:val="18"/>
        </w:rPr>
        <w:t>restituição</w:t>
      </w:r>
      <w:r>
        <w:rPr>
          <w:spacing w:val="-4"/>
          <w:sz w:val="18"/>
        </w:rPr>
        <w:t> </w:t>
      </w:r>
      <w:r>
        <w:rPr>
          <w:sz w:val="18"/>
        </w:rPr>
        <w:t>junto</w:t>
      </w:r>
      <w:r>
        <w:rPr>
          <w:spacing w:val="-3"/>
          <w:sz w:val="18"/>
        </w:rPr>
        <w:t> </w:t>
      </w:r>
      <w:r>
        <w:rPr>
          <w:sz w:val="18"/>
        </w:rPr>
        <w:t>a</w:t>
      </w:r>
      <w:r>
        <w:rPr>
          <w:spacing w:val="-21"/>
          <w:sz w:val="18"/>
        </w:rPr>
        <w:t> </w:t>
      </w:r>
      <w:r>
        <w:rPr>
          <w:spacing w:val="-5"/>
          <w:sz w:val="18"/>
        </w:rPr>
        <w:t>RFB</w:t>
      </w:r>
    </w:p>
    <w:p>
      <w:pPr>
        <w:pStyle w:val="BodyText"/>
        <w:rPr>
          <w:sz w:val="18"/>
        </w:rPr>
      </w:pPr>
    </w:p>
    <w:p>
      <w:pPr>
        <w:pStyle w:val="BodyText"/>
        <w:rPr>
          <w:sz w:val="18"/>
        </w:rPr>
      </w:pPr>
    </w:p>
    <w:p>
      <w:pPr>
        <w:pStyle w:val="BodyText"/>
        <w:spacing w:before="86"/>
        <w:rPr>
          <w:sz w:val="18"/>
        </w:rPr>
      </w:pPr>
    </w:p>
    <w:p>
      <w:pPr>
        <w:pStyle w:val="Heading3"/>
        <w:numPr>
          <w:ilvl w:val="0"/>
          <w:numId w:val="15"/>
        </w:numPr>
        <w:tabs>
          <w:tab w:pos="718" w:val="left" w:leader="none"/>
        </w:tabs>
        <w:spacing w:line="240" w:lineRule="auto" w:before="1" w:after="0"/>
        <w:ind w:left="718" w:right="0" w:hanging="568"/>
        <w:jc w:val="left"/>
      </w:pPr>
      <w:bookmarkStart w:name="_TOC_250002" w:id="23"/>
      <w:r>
        <w:rPr/>
        <w:t>Processos</w:t>
      </w:r>
      <w:r>
        <w:rPr>
          <w:spacing w:val="-5"/>
        </w:rPr>
        <w:t> </w:t>
      </w:r>
      <w:r>
        <w:rPr/>
        <w:t>judiciais</w:t>
      </w:r>
      <w:r>
        <w:rPr>
          <w:spacing w:val="-3"/>
        </w:rPr>
        <w:t> </w:t>
      </w:r>
      <w:r>
        <w:rPr/>
        <w:t>e</w:t>
      </w:r>
      <w:r>
        <w:rPr>
          <w:spacing w:val="-7"/>
        </w:rPr>
        <w:t> </w:t>
      </w:r>
      <w:bookmarkEnd w:id="23"/>
      <w:r>
        <w:rPr>
          <w:spacing w:val="-2"/>
        </w:rPr>
        <w:t>contingências</w:t>
      </w:r>
    </w:p>
    <w:p>
      <w:pPr>
        <w:pStyle w:val="ListParagraph"/>
        <w:numPr>
          <w:ilvl w:val="1"/>
          <w:numId w:val="15"/>
        </w:numPr>
        <w:tabs>
          <w:tab w:pos="152" w:val="left" w:leader="none"/>
          <w:tab w:pos="859" w:val="left" w:leader="none"/>
        </w:tabs>
        <w:spacing w:line="240" w:lineRule="auto" w:before="241" w:after="0"/>
        <w:ind w:left="859" w:right="0" w:hanging="709"/>
        <w:jc w:val="left"/>
        <w:rPr>
          <w:b/>
          <w:sz w:val="24"/>
        </w:rPr>
      </w:pPr>
      <w:r>
        <w:rPr>
          <w:b/>
          <w:sz w:val="24"/>
        </w:rPr>
        <w:t>Processos</w:t>
      </w:r>
      <w:r>
        <w:rPr>
          <w:b/>
          <w:spacing w:val="-9"/>
          <w:sz w:val="24"/>
        </w:rPr>
        <w:t> </w:t>
      </w:r>
      <w:r>
        <w:rPr>
          <w:b/>
          <w:sz w:val="24"/>
        </w:rPr>
        <w:t>judiciais</w:t>
      </w:r>
      <w:r>
        <w:rPr>
          <w:b/>
          <w:spacing w:val="-4"/>
          <w:sz w:val="24"/>
        </w:rPr>
        <w:t> </w:t>
      </w:r>
      <w:r>
        <w:rPr>
          <w:b/>
          <w:sz w:val="24"/>
        </w:rPr>
        <w:t>provisionados,</w:t>
      </w:r>
      <w:r>
        <w:rPr>
          <w:b/>
          <w:spacing w:val="-4"/>
          <w:sz w:val="24"/>
        </w:rPr>
        <w:t> </w:t>
      </w:r>
      <w:r>
        <w:rPr>
          <w:b/>
          <w:sz w:val="24"/>
        </w:rPr>
        <w:t>Depósitos</w:t>
      </w:r>
      <w:r>
        <w:rPr>
          <w:b/>
          <w:spacing w:val="-4"/>
          <w:sz w:val="24"/>
        </w:rPr>
        <w:t> </w:t>
      </w:r>
      <w:r>
        <w:rPr>
          <w:b/>
          <w:sz w:val="24"/>
        </w:rPr>
        <w:t>Judiciais</w:t>
      </w:r>
      <w:r>
        <w:rPr>
          <w:b/>
          <w:spacing w:val="-5"/>
          <w:sz w:val="24"/>
        </w:rPr>
        <w:t> </w:t>
      </w:r>
      <w:r>
        <w:rPr>
          <w:b/>
          <w:sz w:val="24"/>
        </w:rPr>
        <w:t>e</w:t>
      </w:r>
      <w:r>
        <w:rPr>
          <w:b/>
          <w:spacing w:val="-3"/>
          <w:sz w:val="24"/>
        </w:rPr>
        <w:t> </w:t>
      </w:r>
      <w:r>
        <w:rPr>
          <w:b/>
          <w:sz w:val="24"/>
        </w:rPr>
        <w:t>Processos</w:t>
      </w:r>
      <w:r>
        <w:rPr>
          <w:b/>
          <w:spacing w:val="-4"/>
          <w:sz w:val="24"/>
        </w:rPr>
        <w:t> </w:t>
      </w:r>
      <w:r>
        <w:rPr>
          <w:b/>
          <w:sz w:val="24"/>
        </w:rPr>
        <w:t>Judiciais</w:t>
      </w:r>
      <w:r>
        <w:rPr>
          <w:b/>
          <w:spacing w:val="-4"/>
          <w:sz w:val="24"/>
        </w:rPr>
        <w:t> </w:t>
      </w:r>
      <w:r>
        <w:rPr>
          <w:b/>
          <w:sz w:val="24"/>
        </w:rPr>
        <w:t>não</w:t>
      </w:r>
      <w:r>
        <w:rPr>
          <w:b/>
          <w:spacing w:val="-22"/>
          <w:sz w:val="24"/>
        </w:rPr>
        <w:t> </w:t>
      </w:r>
      <w:r>
        <w:rPr>
          <w:b/>
          <w:spacing w:val="-2"/>
          <w:sz w:val="24"/>
        </w:rPr>
        <w:t>provisionados</w:t>
      </w:r>
    </w:p>
    <w:p>
      <w:pPr>
        <w:pStyle w:val="BodyText"/>
        <w:spacing w:before="240"/>
        <w:ind w:left="151" w:right="271"/>
      </w:pPr>
      <w:r>
        <w:rPr/>
        <w:t>A</w:t>
      </w:r>
      <w:r>
        <w:rPr>
          <w:spacing w:val="-3"/>
        </w:rPr>
        <w:t> </w:t>
      </w:r>
      <w:r>
        <w:rPr/>
        <w:t>companhia</w:t>
      </w:r>
      <w:r>
        <w:rPr>
          <w:spacing w:val="-1"/>
        </w:rPr>
        <w:t> </w:t>
      </w:r>
      <w:r>
        <w:rPr/>
        <w:t>constitui</w:t>
      </w:r>
      <w:r>
        <w:rPr>
          <w:spacing w:val="-1"/>
        </w:rPr>
        <w:t> </w:t>
      </w:r>
      <w:r>
        <w:rPr/>
        <w:t>provisões</w:t>
      </w:r>
      <w:r>
        <w:rPr>
          <w:spacing w:val="-2"/>
        </w:rPr>
        <w:t> </w:t>
      </w:r>
      <w:r>
        <w:rPr/>
        <w:t>em</w:t>
      </w:r>
      <w:r>
        <w:rPr>
          <w:spacing w:val="-3"/>
        </w:rPr>
        <w:t> </w:t>
      </w:r>
      <w:r>
        <w:rPr/>
        <w:t>montante</w:t>
      </w:r>
      <w:r>
        <w:rPr>
          <w:spacing w:val="-2"/>
        </w:rPr>
        <w:t> </w:t>
      </w:r>
      <w:r>
        <w:rPr/>
        <w:t>suficiente</w:t>
      </w:r>
      <w:r>
        <w:rPr>
          <w:spacing w:val="-2"/>
        </w:rPr>
        <w:t> </w:t>
      </w:r>
      <w:r>
        <w:rPr/>
        <w:t>para</w:t>
      </w:r>
      <w:r>
        <w:rPr>
          <w:spacing w:val="-3"/>
        </w:rPr>
        <w:t> </w:t>
      </w:r>
      <w:r>
        <w:rPr/>
        <w:t>cobrir</w:t>
      </w:r>
      <w:r>
        <w:rPr>
          <w:spacing w:val="-3"/>
        </w:rPr>
        <w:t> </w:t>
      </w:r>
      <w:r>
        <w:rPr/>
        <w:t>as</w:t>
      </w:r>
      <w:r>
        <w:rPr>
          <w:spacing w:val="-3"/>
        </w:rPr>
        <w:t> </w:t>
      </w:r>
      <w:r>
        <w:rPr/>
        <w:t>perdas</w:t>
      </w:r>
      <w:r>
        <w:rPr>
          <w:spacing w:val="-2"/>
        </w:rPr>
        <w:t> </w:t>
      </w:r>
      <w:r>
        <w:rPr/>
        <w:t>consideradas</w:t>
      </w:r>
      <w:r>
        <w:rPr>
          <w:spacing w:val="-2"/>
        </w:rPr>
        <w:t> </w:t>
      </w:r>
      <w:r>
        <w:rPr/>
        <w:t>prováveis</w:t>
      </w:r>
      <w:r>
        <w:rPr>
          <w:spacing w:val="-2"/>
        </w:rPr>
        <w:t> </w:t>
      </w:r>
      <w:r>
        <w:rPr/>
        <w:t>e</w:t>
      </w:r>
      <w:r>
        <w:rPr>
          <w:spacing w:val="-3"/>
        </w:rPr>
        <w:t> </w:t>
      </w:r>
      <w:r>
        <w:rPr/>
        <w:t>para</w:t>
      </w:r>
      <w:r>
        <w:rPr>
          <w:spacing w:val="-2"/>
        </w:rPr>
        <w:t> </w:t>
      </w:r>
      <w:r>
        <w:rPr/>
        <w:t>as quais uma estimativa confiável possa ser realizada.</w:t>
      </w:r>
    </w:p>
    <w:p>
      <w:pPr>
        <w:pStyle w:val="BodyText"/>
        <w:spacing w:before="238"/>
        <w:ind w:left="152"/>
      </w:pPr>
      <w:r>
        <w:rPr/>
        <w:t>Os</w:t>
      </w:r>
      <w:r>
        <w:rPr>
          <w:spacing w:val="-9"/>
        </w:rPr>
        <w:t> </w:t>
      </w:r>
      <w:r>
        <w:rPr/>
        <w:t>depósitos</w:t>
      </w:r>
      <w:r>
        <w:rPr>
          <w:spacing w:val="-6"/>
        </w:rPr>
        <w:t> </w:t>
      </w:r>
      <w:r>
        <w:rPr/>
        <w:t>judiciais</w:t>
      </w:r>
      <w:r>
        <w:rPr>
          <w:spacing w:val="-7"/>
        </w:rPr>
        <w:t> </w:t>
      </w:r>
      <w:r>
        <w:rPr/>
        <w:t>são</w:t>
      </w:r>
      <w:r>
        <w:rPr>
          <w:spacing w:val="-7"/>
        </w:rPr>
        <w:t> </w:t>
      </w:r>
      <w:r>
        <w:rPr/>
        <w:t>apresentados</w:t>
      </w:r>
      <w:r>
        <w:rPr>
          <w:spacing w:val="-8"/>
        </w:rPr>
        <w:t> </w:t>
      </w:r>
      <w:r>
        <w:rPr/>
        <w:t>de</w:t>
      </w:r>
      <w:r>
        <w:rPr>
          <w:spacing w:val="-8"/>
        </w:rPr>
        <w:t> </w:t>
      </w:r>
      <w:r>
        <w:rPr/>
        <w:t>acordo</w:t>
      </w:r>
      <w:r>
        <w:rPr>
          <w:spacing w:val="-8"/>
        </w:rPr>
        <w:t> </w:t>
      </w:r>
      <w:r>
        <w:rPr/>
        <w:t>com</w:t>
      </w:r>
      <w:r>
        <w:rPr>
          <w:spacing w:val="-8"/>
        </w:rPr>
        <w:t> </w:t>
      </w:r>
      <w:r>
        <w:rPr/>
        <w:t>a</w:t>
      </w:r>
      <w:r>
        <w:rPr>
          <w:spacing w:val="-8"/>
        </w:rPr>
        <w:t> </w:t>
      </w:r>
      <w:r>
        <w:rPr/>
        <w:t>natureza</w:t>
      </w:r>
      <w:r>
        <w:rPr>
          <w:spacing w:val="-7"/>
        </w:rPr>
        <w:t> </w:t>
      </w:r>
      <w:r>
        <w:rPr/>
        <w:t>das</w:t>
      </w:r>
      <w:r>
        <w:rPr>
          <w:spacing w:val="-8"/>
        </w:rPr>
        <w:t> </w:t>
      </w:r>
      <w:r>
        <w:rPr/>
        <w:t>correspondentes</w:t>
      </w:r>
      <w:r>
        <w:rPr>
          <w:spacing w:val="-7"/>
        </w:rPr>
        <w:t> </w:t>
      </w:r>
      <w:r>
        <w:rPr>
          <w:spacing w:val="-2"/>
        </w:rPr>
        <w:t>causas:</w:t>
      </w:r>
    </w:p>
    <w:p>
      <w:pPr>
        <w:spacing w:after="0"/>
        <w:sectPr>
          <w:pgSz w:w="11910" w:h="16840"/>
          <w:pgMar w:header="637" w:footer="630" w:top="1800" w:bottom="820" w:left="700" w:right="480"/>
        </w:sectPr>
      </w:pPr>
    </w:p>
    <w:p>
      <w:pPr>
        <w:pStyle w:val="BodyText"/>
        <w:spacing w:before="54"/>
        <w:rPr>
          <w:sz w:val="20"/>
        </w:rPr>
      </w:pPr>
    </w:p>
    <w:tbl>
      <w:tblPr>
        <w:tblW w:w="0" w:type="auto"/>
        <w:jc w:val="left"/>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93"/>
        <w:gridCol w:w="1782"/>
        <w:gridCol w:w="948"/>
      </w:tblGrid>
      <w:tr>
        <w:trPr>
          <w:trHeight w:val="233" w:hRule="atLeast"/>
        </w:trPr>
        <w:tc>
          <w:tcPr>
            <w:tcW w:w="7493" w:type="dxa"/>
          </w:tcPr>
          <w:p>
            <w:pPr>
              <w:pStyle w:val="TableParagraph"/>
              <w:spacing w:line="166" w:lineRule="exact" w:before="39"/>
              <w:ind w:left="50"/>
              <w:rPr>
                <w:b/>
                <w:sz w:val="18"/>
              </w:rPr>
            </w:pPr>
            <w:r>
              <w:rPr>
                <w:b/>
                <w:sz w:val="18"/>
              </w:rPr>
              <w:t>Depósitos</w:t>
            </w:r>
            <w:r>
              <w:rPr>
                <w:b/>
                <w:spacing w:val="-2"/>
                <w:sz w:val="18"/>
              </w:rPr>
              <w:t> judiciais</w:t>
            </w:r>
          </w:p>
        </w:tc>
        <w:tc>
          <w:tcPr>
            <w:tcW w:w="1782" w:type="dxa"/>
            <w:tcBorders>
              <w:top w:val="single" w:sz="4" w:space="0" w:color="000000"/>
              <w:bottom w:val="single" w:sz="18" w:space="0" w:color="000000"/>
            </w:tcBorders>
          </w:tcPr>
          <w:p>
            <w:pPr>
              <w:pStyle w:val="TableParagraph"/>
              <w:spacing w:line="166" w:lineRule="exact" w:before="39"/>
              <w:ind w:right="470"/>
              <w:jc w:val="right"/>
              <w:rPr>
                <w:b/>
                <w:sz w:val="18"/>
              </w:rPr>
            </w:pPr>
            <w:r>
              <w:rPr>
                <w:b/>
                <w:spacing w:val="-4"/>
                <w:sz w:val="18"/>
              </w:rPr>
              <w:t>2022</w:t>
            </w:r>
          </w:p>
        </w:tc>
        <w:tc>
          <w:tcPr>
            <w:tcW w:w="948" w:type="dxa"/>
            <w:tcBorders>
              <w:top w:val="single" w:sz="4" w:space="0" w:color="000000"/>
              <w:bottom w:val="single" w:sz="18" w:space="0" w:color="000000"/>
            </w:tcBorders>
          </w:tcPr>
          <w:p>
            <w:pPr>
              <w:pStyle w:val="TableParagraph"/>
              <w:spacing w:line="166" w:lineRule="exact" w:before="39"/>
              <w:jc w:val="right"/>
              <w:rPr>
                <w:b/>
                <w:sz w:val="18"/>
              </w:rPr>
            </w:pPr>
            <w:r>
              <w:rPr>
                <w:b/>
                <w:spacing w:val="-4"/>
                <w:sz w:val="18"/>
              </w:rPr>
              <w:t>2021</w:t>
            </w:r>
          </w:p>
        </w:tc>
      </w:tr>
      <w:tr>
        <w:trPr>
          <w:trHeight w:val="493" w:hRule="atLeast"/>
        </w:trPr>
        <w:tc>
          <w:tcPr>
            <w:tcW w:w="7493" w:type="dxa"/>
          </w:tcPr>
          <w:p>
            <w:pPr>
              <w:pStyle w:val="TableParagraph"/>
              <w:spacing w:before="87"/>
              <w:rPr>
                <w:sz w:val="18"/>
              </w:rPr>
            </w:pPr>
          </w:p>
          <w:p>
            <w:pPr>
              <w:pStyle w:val="TableParagraph"/>
              <w:spacing w:line="174" w:lineRule="exact" w:before="1"/>
              <w:ind w:left="50"/>
              <w:rPr>
                <w:sz w:val="18"/>
              </w:rPr>
            </w:pPr>
            <w:r>
              <w:rPr>
                <w:spacing w:val="-2"/>
                <w:sz w:val="18"/>
              </w:rPr>
              <w:t>Trabalhistas</w:t>
            </w:r>
            <w:r>
              <w:rPr>
                <w:spacing w:val="13"/>
                <w:sz w:val="18"/>
              </w:rPr>
              <w:t> </w:t>
            </w:r>
            <w:r>
              <w:rPr>
                <w:spacing w:val="-5"/>
                <w:sz w:val="18"/>
              </w:rPr>
              <w:t>(i)</w:t>
            </w:r>
          </w:p>
        </w:tc>
        <w:tc>
          <w:tcPr>
            <w:tcW w:w="1782" w:type="dxa"/>
            <w:tcBorders>
              <w:top w:val="single" w:sz="18" w:space="0" w:color="000000"/>
              <w:bottom w:val="single" w:sz="18" w:space="0" w:color="000000"/>
            </w:tcBorders>
          </w:tcPr>
          <w:p>
            <w:pPr>
              <w:pStyle w:val="TableParagraph"/>
              <w:spacing w:before="87"/>
              <w:rPr>
                <w:sz w:val="18"/>
              </w:rPr>
            </w:pPr>
          </w:p>
          <w:p>
            <w:pPr>
              <w:pStyle w:val="TableParagraph"/>
              <w:spacing w:line="159" w:lineRule="exact" w:before="1"/>
              <w:ind w:right="461"/>
              <w:jc w:val="right"/>
              <w:rPr>
                <w:sz w:val="18"/>
              </w:rPr>
            </w:pPr>
            <w:r>
              <w:rPr>
                <w:spacing w:val="-2"/>
                <w:sz w:val="18"/>
              </w:rPr>
              <w:t>3.897</w:t>
            </w:r>
          </w:p>
        </w:tc>
        <w:tc>
          <w:tcPr>
            <w:tcW w:w="948" w:type="dxa"/>
            <w:tcBorders>
              <w:top w:val="single" w:sz="18" w:space="0" w:color="000000"/>
              <w:bottom w:val="single" w:sz="18" w:space="0" w:color="000000"/>
            </w:tcBorders>
          </w:tcPr>
          <w:p>
            <w:pPr>
              <w:pStyle w:val="TableParagraph"/>
              <w:spacing w:before="87"/>
              <w:rPr>
                <w:sz w:val="18"/>
              </w:rPr>
            </w:pPr>
          </w:p>
          <w:p>
            <w:pPr>
              <w:pStyle w:val="TableParagraph"/>
              <w:spacing w:line="159" w:lineRule="exact" w:before="1"/>
              <w:jc w:val="right"/>
              <w:rPr>
                <w:sz w:val="18"/>
              </w:rPr>
            </w:pPr>
            <w:r>
              <w:rPr>
                <w:spacing w:val="-5"/>
                <w:sz w:val="18"/>
              </w:rPr>
              <w:t>315</w:t>
            </w:r>
          </w:p>
        </w:tc>
      </w:tr>
      <w:tr>
        <w:trPr>
          <w:trHeight w:val="248" w:hRule="atLeast"/>
        </w:trPr>
        <w:tc>
          <w:tcPr>
            <w:tcW w:w="7493" w:type="dxa"/>
          </w:tcPr>
          <w:p>
            <w:pPr>
              <w:pStyle w:val="TableParagraph"/>
              <w:rPr>
                <w:rFonts w:ascii="Times New Roman"/>
                <w:sz w:val="18"/>
              </w:rPr>
            </w:pPr>
          </w:p>
        </w:tc>
        <w:tc>
          <w:tcPr>
            <w:tcW w:w="1782" w:type="dxa"/>
            <w:tcBorders>
              <w:top w:val="single" w:sz="18" w:space="0" w:color="000000"/>
              <w:bottom w:val="single" w:sz="24" w:space="0" w:color="000000"/>
            </w:tcBorders>
          </w:tcPr>
          <w:p>
            <w:pPr>
              <w:pStyle w:val="TableParagraph"/>
              <w:spacing w:line="211" w:lineRule="exact" w:before="31"/>
              <w:ind w:right="474"/>
              <w:jc w:val="right"/>
              <w:rPr>
                <w:sz w:val="18"/>
              </w:rPr>
            </w:pPr>
            <w:r>
              <w:rPr>
                <w:spacing w:val="-2"/>
                <w:sz w:val="18"/>
              </w:rPr>
              <w:t>3.897</w:t>
            </w:r>
          </w:p>
        </w:tc>
        <w:tc>
          <w:tcPr>
            <w:tcW w:w="948" w:type="dxa"/>
            <w:tcBorders>
              <w:top w:val="single" w:sz="18" w:space="0" w:color="000000"/>
              <w:bottom w:val="single" w:sz="24" w:space="0" w:color="000000"/>
            </w:tcBorders>
          </w:tcPr>
          <w:p>
            <w:pPr>
              <w:pStyle w:val="TableParagraph"/>
              <w:spacing w:line="211" w:lineRule="exact" w:before="31"/>
              <w:ind w:right="70"/>
              <w:jc w:val="right"/>
              <w:rPr>
                <w:sz w:val="18"/>
              </w:rPr>
            </w:pPr>
            <w:r>
              <w:rPr>
                <w:spacing w:val="-5"/>
                <w:sz w:val="18"/>
              </w:rPr>
              <w:t>315</w:t>
            </w:r>
          </w:p>
        </w:tc>
      </w:tr>
      <w:tr>
        <w:trPr>
          <w:trHeight w:val="210" w:hRule="atLeast"/>
        </w:trPr>
        <w:tc>
          <w:tcPr>
            <w:tcW w:w="7493" w:type="dxa"/>
          </w:tcPr>
          <w:p>
            <w:pPr>
              <w:pStyle w:val="TableParagraph"/>
              <w:rPr>
                <w:rFonts w:ascii="Times New Roman"/>
                <w:sz w:val="14"/>
              </w:rPr>
            </w:pPr>
          </w:p>
        </w:tc>
        <w:tc>
          <w:tcPr>
            <w:tcW w:w="1782" w:type="dxa"/>
            <w:tcBorders>
              <w:top w:val="single" w:sz="24" w:space="0" w:color="000000"/>
              <w:bottom w:val="single" w:sz="4" w:space="0" w:color="000000"/>
            </w:tcBorders>
          </w:tcPr>
          <w:p>
            <w:pPr>
              <w:pStyle w:val="TableParagraph"/>
              <w:rPr>
                <w:rFonts w:ascii="Times New Roman"/>
                <w:sz w:val="14"/>
              </w:rPr>
            </w:pPr>
          </w:p>
        </w:tc>
        <w:tc>
          <w:tcPr>
            <w:tcW w:w="948" w:type="dxa"/>
            <w:tcBorders>
              <w:top w:val="single" w:sz="24" w:space="0" w:color="000000"/>
              <w:bottom w:val="single" w:sz="4" w:space="0" w:color="000000"/>
            </w:tcBorders>
          </w:tcPr>
          <w:p>
            <w:pPr>
              <w:pStyle w:val="TableParagraph"/>
              <w:rPr>
                <w:rFonts w:ascii="Times New Roman"/>
                <w:sz w:val="14"/>
              </w:rPr>
            </w:pPr>
          </w:p>
        </w:tc>
      </w:tr>
      <w:tr>
        <w:trPr>
          <w:trHeight w:val="237" w:hRule="atLeast"/>
        </w:trPr>
        <w:tc>
          <w:tcPr>
            <w:tcW w:w="7493" w:type="dxa"/>
          </w:tcPr>
          <w:p>
            <w:pPr>
              <w:pStyle w:val="TableParagraph"/>
              <w:spacing w:line="174" w:lineRule="exact" w:before="43"/>
              <w:ind w:left="50"/>
              <w:rPr>
                <w:b/>
                <w:sz w:val="18"/>
              </w:rPr>
            </w:pPr>
            <w:r>
              <w:rPr>
                <w:b/>
                <w:sz w:val="18"/>
              </w:rPr>
              <w:t>Processos</w:t>
            </w:r>
            <w:r>
              <w:rPr>
                <w:b/>
                <w:spacing w:val="-4"/>
                <w:sz w:val="18"/>
              </w:rPr>
              <w:t> </w:t>
            </w:r>
            <w:r>
              <w:rPr>
                <w:b/>
                <w:sz w:val="18"/>
              </w:rPr>
              <w:t>judiciais</w:t>
            </w:r>
            <w:r>
              <w:rPr>
                <w:b/>
                <w:spacing w:val="-4"/>
                <w:sz w:val="18"/>
              </w:rPr>
              <w:t> </w:t>
            </w:r>
            <w:r>
              <w:rPr>
                <w:b/>
                <w:spacing w:val="-2"/>
                <w:sz w:val="18"/>
              </w:rPr>
              <w:t>provisionados</w:t>
            </w:r>
          </w:p>
        </w:tc>
        <w:tc>
          <w:tcPr>
            <w:tcW w:w="1782" w:type="dxa"/>
            <w:tcBorders>
              <w:top w:val="single" w:sz="4" w:space="0" w:color="000000"/>
              <w:bottom w:val="single" w:sz="18" w:space="0" w:color="000000"/>
            </w:tcBorders>
          </w:tcPr>
          <w:p>
            <w:pPr>
              <w:pStyle w:val="TableParagraph"/>
              <w:spacing w:line="166" w:lineRule="exact" w:before="43"/>
              <w:ind w:right="470"/>
              <w:jc w:val="right"/>
              <w:rPr>
                <w:b/>
                <w:sz w:val="18"/>
              </w:rPr>
            </w:pPr>
            <w:r>
              <w:rPr>
                <w:b/>
                <w:spacing w:val="-4"/>
                <w:sz w:val="18"/>
              </w:rPr>
              <w:t>2022</w:t>
            </w:r>
          </w:p>
        </w:tc>
        <w:tc>
          <w:tcPr>
            <w:tcW w:w="948" w:type="dxa"/>
            <w:tcBorders>
              <w:top w:val="single" w:sz="4" w:space="0" w:color="000000"/>
              <w:bottom w:val="single" w:sz="18" w:space="0" w:color="000000"/>
            </w:tcBorders>
          </w:tcPr>
          <w:p>
            <w:pPr>
              <w:pStyle w:val="TableParagraph"/>
              <w:spacing w:line="166" w:lineRule="exact" w:before="43"/>
              <w:jc w:val="right"/>
              <w:rPr>
                <w:b/>
                <w:sz w:val="18"/>
              </w:rPr>
            </w:pPr>
            <w:r>
              <w:rPr>
                <w:b/>
                <w:spacing w:val="-4"/>
                <w:sz w:val="18"/>
              </w:rPr>
              <w:t>2021</w:t>
            </w:r>
          </w:p>
        </w:tc>
      </w:tr>
      <w:tr>
        <w:trPr>
          <w:trHeight w:val="787" w:hRule="atLeast"/>
        </w:trPr>
        <w:tc>
          <w:tcPr>
            <w:tcW w:w="7493" w:type="dxa"/>
          </w:tcPr>
          <w:p>
            <w:pPr>
              <w:pStyle w:val="TableParagraph"/>
              <w:spacing w:before="80"/>
              <w:rPr>
                <w:sz w:val="18"/>
              </w:rPr>
            </w:pPr>
          </w:p>
          <w:p>
            <w:pPr>
              <w:pStyle w:val="TableParagraph"/>
              <w:ind w:left="50"/>
              <w:rPr>
                <w:sz w:val="18"/>
              </w:rPr>
            </w:pPr>
            <w:r>
              <w:rPr>
                <w:spacing w:val="-2"/>
                <w:sz w:val="18"/>
              </w:rPr>
              <w:t>Trabalhistas</w:t>
            </w:r>
          </w:p>
        </w:tc>
        <w:tc>
          <w:tcPr>
            <w:tcW w:w="1782" w:type="dxa"/>
            <w:tcBorders>
              <w:top w:val="single" w:sz="18" w:space="0" w:color="000000"/>
              <w:bottom w:val="single" w:sz="4" w:space="0" w:color="000000"/>
            </w:tcBorders>
          </w:tcPr>
          <w:p>
            <w:pPr>
              <w:pStyle w:val="TableParagraph"/>
              <w:spacing w:before="88"/>
              <w:rPr>
                <w:sz w:val="18"/>
              </w:rPr>
            </w:pPr>
          </w:p>
          <w:p>
            <w:pPr>
              <w:pStyle w:val="TableParagraph"/>
              <w:ind w:right="474"/>
              <w:jc w:val="right"/>
              <w:rPr>
                <w:sz w:val="18"/>
              </w:rPr>
            </w:pPr>
            <w:r>
              <w:rPr>
                <w:spacing w:val="-5"/>
                <w:sz w:val="18"/>
              </w:rPr>
              <w:t>409</w:t>
            </w:r>
          </w:p>
        </w:tc>
        <w:tc>
          <w:tcPr>
            <w:tcW w:w="948" w:type="dxa"/>
            <w:tcBorders>
              <w:top w:val="single" w:sz="18" w:space="0" w:color="000000"/>
              <w:bottom w:val="single" w:sz="4" w:space="0" w:color="000000"/>
            </w:tcBorders>
          </w:tcPr>
          <w:p>
            <w:pPr>
              <w:pStyle w:val="TableParagraph"/>
              <w:spacing w:before="88"/>
              <w:rPr>
                <w:sz w:val="18"/>
              </w:rPr>
            </w:pPr>
          </w:p>
          <w:p>
            <w:pPr>
              <w:pStyle w:val="TableParagraph"/>
              <w:ind w:right="70"/>
              <w:jc w:val="right"/>
              <w:rPr>
                <w:sz w:val="18"/>
              </w:rPr>
            </w:pPr>
            <w:r>
              <w:rPr>
                <w:spacing w:val="-2"/>
                <w:sz w:val="18"/>
              </w:rPr>
              <w:t>1.743</w:t>
            </w:r>
          </w:p>
        </w:tc>
      </w:tr>
      <w:tr>
        <w:trPr>
          <w:trHeight w:val="260" w:hRule="atLeast"/>
        </w:trPr>
        <w:tc>
          <w:tcPr>
            <w:tcW w:w="7493" w:type="dxa"/>
          </w:tcPr>
          <w:p>
            <w:pPr>
              <w:pStyle w:val="TableParagraph"/>
              <w:rPr>
                <w:rFonts w:ascii="Times New Roman"/>
                <w:sz w:val="18"/>
              </w:rPr>
            </w:pPr>
          </w:p>
        </w:tc>
        <w:tc>
          <w:tcPr>
            <w:tcW w:w="1782" w:type="dxa"/>
            <w:tcBorders>
              <w:top w:val="single" w:sz="4" w:space="0" w:color="000000"/>
              <w:bottom w:val="single" w:sz="24" w:space="0" w:color="000000"/>
            </w:tcBorders>
          </w:tcPr>
          <w:p>
            <w:pPr>
              <w:pStyle w:val="TableParagraph"/>
              <w:spacing w:line="211" w:lineRule="exact" w:before="29"/>
              <w:ind w:right="474"/>
              <w:jc w:val="right"/>
              <w:rPr>
                <w:sz w:val="18"/>
              </w:rPr>
            </w:pPr>
            <w:r>
              <w:rPr>
                <w:spacing w:val="-5"/>
                <w:sz w:val="18"/>
              </w:rPr>
              <w:t>409</w:t>
            </w:r>
          </w:p>
        </w:tc>
        <w:tc>
          <w:tcPr>
            <w:tcW w:w="948" w:type="dxa"/>
            <w:tcBorders>
              <w:top w:val="single" w:sz="4" w:space="0" w:color="000000"/>
              <w:bottom w:val="single" w:sz="24" w:space="0" w:color="000000"/>
            </w:tcBorders>
          </w:tcPr>
          <w:p>
            <w:pPr>
              <w:pStyle w:val="TableParagraph"/>
              <w:spacing w:line="211" w:lineRule="exact" w:before="29"/>
              <w:ind w:right="70"/>
              <w:jc w:val="right"/>
              <w:rPr>
                <w:sz w:val="18"/>
              </w:rPr>
            </w:pPr>
            <w:r>
              <w:rPr>
                <w:spacing w:val="-2"/>
                <w:sz w:val="18"/>
              </w:rPr>
              <w:t>1.743</w:t>
            </w:r>
          </w:p>
        </w:tc>
      </w:tr>
    </w:tbl>
    <w:p>
      <w:pPr>
        <w:pStyle w:val="BodyText"/>
        <w:spacing w:before="34"/>
      </w:pPr>
    </w:p>
    <w:p>
      <w:pPr>
        <w:pStyle w:val="BodyText"/>
        <w:tabs>
          <w:tab w:pos="1231" w:val="left" w:leader="none"/>
        </w:tabs>
        <w:ind w:left="512"/>
      </w:pPr>
      <w:r>
        <w:rPr>
          <w:spacing w:val="-5"/>
        </w:rPr>
        <w:t>(i)</w:t>
      </w:r>
      <w:r>
        <w:rPr/>
        <w:tab/>
        <w:t>O</w:t>
      </w:r>
      <w:r>
        <w:rPr>
          <w:spacing w:val="-12"/>
        </w:rPr>
        <w:t> </w:t>
      </w:r>
      <w:r>
        <w:rPr/>
        <w:t>acréscimo</w:t>
      </w:r>
      <w:r>
        <w:rPr>
          <w:spacing w:val="-7"/>
        </w:rPr>
        <w:t> </w:t>
      </w:r>
      <w:r>
        <w:rPr/>
        <w:t>deve‐se,</w:t>
      </w:r>
      <w:r>
        <w:rPr>
          <w:spacing w:val="-9"/>
        </w:rPr>
        <w:t> </w:t>
      </w:r>
      <w:r>
        <w:rPr/>
        <w:t>substancialmente,</w:t>
      </w:r>
      <w:r>
        <w:rPr>
          <w:spacing w:val="-10"/>
        </w:rPr>
        <w:t> </w:t>
      </w:r>
      <w:r>
        <w:rPr/>
        <w:t>a</w:t>
      </w:r>
      <w:r>
        <w:rPr>
          <w:spacing w:val="-8"/>
        </w:rPr>
        <w:t> </w:t>
      </w:r>
      <w:r>
        <w:rPr/>
        <w:t>reversão</w:t>
      </w:r>
      <w:r>
        <w:rPr>
          <w:spacing w:val="-8"/>
        </w:rPr>
        <w:t> </w:t>
      </w:r>
      <w:r>
        <w:rPr/>
        <w:t>de</w:t>
      </w:r>
      <w:r>
        <w:rPr>
          <w:spacing w:val="-9"/>
        </w:rPr>
        <w:t> </w:t>
      </w:r>
      <w:r>
        <w:rPr/>
        <w:t>despesas,</w:t>
      </w:r>
      <w:r>
        <w:rPr>
          <w:spacing w:val="-9"/>
        </w:rPr>
        <w:t> </w:t>
      </w:r>
      <w:r>
        <w:rPr/>
        <w:t>conforme</w:t>
      </w:r>
      <w:r>
        <w:rPr>
          <w:spacing w:val="-8"/>
        </w:rPr>
        <w:t> </w:t>
      </w:r>
      <w:r>
        <w:rPr/>
        <w:t>nota</w:t>
      </w:r>
      <w:r>
        <w:rPr>
          <w:spacing w:val="-9"/>
        </w:rPr>
        <w:t> </w:t>
      </w:r>
      <w:r>
        <w:rPr/>
        <w:t>explicativa</w:t>
      </w:r>
      <w:r>
        <w:rPr>
          <w:spacing w:val="-7"/>
        </w:rPr>
        <w:t> </w:t>
      </w:r>
      <w:r>
        <w:rPr/>
        <w:t>13</w:t>
      </w:r>
      <w:r>
        <w:rPr>
          <w:spacing w:val="-31"/>
        </w:rPr>
        <w:t> </w:t>
      </w:r>
      <w:r>
        <w:rPr>
          <w:spacing w:val="-2"/>
        </w:rPr>
        <w:t>(iv).</w:t>
      </w:r>
    </w:p>
    <w:p>
      <w:pPr>
        <w:pStyle w:val="BodyText"/>
        <w:spacing w:before="1"/>
      </w:pPr>
    </w:p>
    <w:p>
      <w:pPr>
        <w:pStyle w:val="BodyText"/>
        <w:spacing w:before="1"/>
        <w:ind w:left="151" w:right="357"/>
        <w:jc w:val="both"/>
      </w:pPr>
      <w:r>
        <w:rPr/>
        <w:t>Os</w:t>
      </w:r>
      <w:r>
        <w:rPr>
          <w:spacing w:val="-12"/>
        </w:rPr>
        <w:t> </w:t>
      </w:r>
      <w:r>
        <w:rPr/>
        <w:t>processos</w:t>
      </w:r>
      <w:r>
        <w:rPr>
          <w:spacing w:val="-9"/>
        </w:rPr>
        <w:t> </w:t>
      </w:r>
      <w:r>
        <w:rPr/>
        <w:t>judiciais</w:t>
      </w:r>
      <w:r>
        <w:rPr>
          <w:spacing w:val="-11"/>
        </w:rPr>
        <w:t> </w:t>
      </w:r>
      <w:r>
        <w:rPr/>
        <w:t>cuja</w:t>
      </w:r>
      <w:r>
        <w:rPr>
          <w:spacing w:val="-11"/>
        </w:rPr>
        <w:t> </w:t>
      </w:r>
      <w:r>
        <w:rPr/>
        <w:t>probabilidade</w:t>
      </w:r>
      <w:r>
        <w:rPr>
          <w:spacing w:val="-13"/>
        </w:rPr>
        <w:t> </w:t>
      </w:r>
      <w:r>
        <w:rPr/>
        <w:t>de</w:t>
      </w:r>
      <w:r>
        <w:rPr>
          <w:spacing w:val="-9"/>
        </w:rPr>
        <w:t> </w:t>
      </w:r>
      <w:r>
        <w:rPr/>
        <w:t>perda</w:t>
      </w:r>
      <w:r>
        <w:rPr>
          <w:spacing w:val="-12"/>
        </w:rPr>
        <w:t> </w:t>
      </w:r>
      <w:r>
        <w:rPr/>
        <w:t>é</w:t>
      </w:r>
      <w:r>
        <w:rPr>
          <w:spacing w:val="-10"/>
        </w:rPr>
        <w:t> </w:t>
      </w:r>
      <w:r>
        <w:rPr/>
        <w:t>considerada</w:t>
      </w:r>
      <w:r>
        <w:rPr>
          <w:spacing w:val="-12"/>
        </w:rPr>
        <w:t> </w:t>
      </w:r>
      <w:r>
        <w:rPr/>
        <w:t>possível</w:t>
      </w:r>
      <w:r>
        <w:rPr>
          <w:spacing w:val="-10"/>
        </w:rPr>
        <w:t> </w:t>
      </w:r>
      <w:r>
        <w:rPr/>
        <w:t>não</w:t>
      </w:r>
      <w:r>
        <w:rPr>
          <w:spacing w:val="-11"/>
        </w:rPr>
        <w:t> </w:t>
      </w:r>
      <w:r>
        <w:rPr/>
        <w:t>são</w:t>
      </w:r>
      <w:r>
        <w:rPr>
          <w:spacing w:val="-11"/>
        </w:rPr>
        <w:t> </w:t>
      </w:r>
      <w:r>
        <w:rPr/>
        <w:t>reconhecidos</w:t>
      </w:r>
      <w:r>
        <w:rPr>
          <w:spacing w:val="-11"/>
        </w:rPr>
        <w:t> </w:t>
      </w:r>
      <w:r>
        <w:rPr/>
        <w:t>nas</w:t>
      </w:r>
      <w:r>
        <w:rPr>
          <w:spacing w:val="-11"/>
        </w:rPr>
        <w:t> </w:t>
      </w:r>
      <w:r>
        <w:rPr/>
        <w:t>demonstrações financeiras, mas são divulgados, a menos que a expectativa de ocorrer qualquer desembolso seja</w:t>
      </w:r>
      <w:r>
        <w:rPr>
          <w:spacing w:val="-15"/>
        </w:rPr>
        <w:t> </w:t>
      </w:r>
      <w:r>
        <w:rPr/>
        <w:t>remota.</w:t>
      </w:r>
    </w:p>
    <w:p>
      <w:pPr>
        <w:pStyle w:val="Heading5"/>
        <w:spacing w:before="240"/>
      </w:pPr>
      <w:r>
        <w:rPr/>
        <w:t>Prática</w:t>
      </w:r>
      <w:r>
        <w:rPr>
          <w:spacing w:val="-10"/>
        </w:rPr>
        <w:t> </w:t>
      </w:r>
      <w:r>
        <w:rPr>
          <w:spacing w:val="-2"/>
        </w:rPr>
        <w:t>contábil</w:t>
      </w:r>
    </w:p>
    <w:p>
      <w:pPr>
        <w:pStyle w:val="BodyText"/>
        <w:spacing w:before="240"/>
        <w:ind w:left="151" w:right="361"/>
        <w:jc w:val="both"/>
      </w:pPr>
      <w:r>
        <w:rPr/>
        <w:t>As provisões são reconhecidas quando: (i) a companhia tem uma obrigação presente como resultado de evento passado; (ii) é provável que uma saída de recursos que incorporam benefícios econômicos será necessária para liquidar a obrigação, e (iii) o valor da obrigação possa ser estimado de forma confiável.</w:t>
      </w:r>
    </w:p>
    <w:p>
      <w:pPr>
        <w:pStyle w:val="BodyText"/>
        <w:spacing w:before="239"/>
        <w:ind w:left="151" w:right="358"/>
        <w:jc w:val="both"/>
      </w:pPr>
      <w:r>
        <w:rPr/>
        <w:t>Os</w:t>
      </w:r>
      <w:r>
        <w:rPr>
          <w:spacing w:val="-1"/>
        </w:rPr>
        <w:t> </w:t>
      </w:r>
      <w:r>
        <w:rPr/>
        <w:t>ativos</w:t>
      </w:r>
      <w:r>
        <w:rPr>
          <w:spacing w:val="-1"/>
        </w:rPr>
        <w:t> </w:t>
      </w:r>
      <w:r>
        <w:rPr/>
        <w:t>e</w:t>
      </w:r>
      <w:r>
        <w:rPr>
          <w:spacing w:val="-2"/>
        </w:rPr>
        <w:t> </w:t>
      </w:r>
      <w:r>
        <w:rPr/>
        <w:t>passivos contingentes não são</w:t>
      </w:r>
      <w:r>
        <w:rPr>
          <w:spacing w:val="-1"/>
        </w:rPr>
        <w:t> </w:t>
      </w:r>
      <w:r>
        <w:rPr/>
        <w:t>reconhecidos.</w:t>
      </w:r>
      <w:r>
        <w:rPr>
          <w:spacing w:val="-1"/>
        </w:rPr>
        <w:t> </w:t>
      </w:r>
      <w:r>
        <w:rPr/>
        <w:t>Passivos</w:t>
      </w:r>
      <w:r>
        <w:rPr>
          <w:spacing w:val="-2"/>
        </w:rPr>
        <w:t> </w:t>
      </w:r>
      <w:r>
        <w:rPr/>
        <w:t>contingentes são</w:t>
      </w:r>
      <w:r>
        <w:rPr>
          <w:spacing w:val="-1"/>
        </w:rPr>
        <w:t> </w:t>
      </w:r>
      <w:r>
        <w:rPr/>
        <w:t>objeto de</w:t>
      </w:r>
      <w:r>
        <w:rPr>
          <w:spacing w:val="-2"/>
        </w:rPr>
        <w:t> </w:t>
      </w:r>
      <w:r>
        <w:rPr/>
        <w:t>divulgação</w:t>
      </w:r>
      <w:r>
        <w:rPr>
          <w:spacing w:val="-1"/>
        </w:rPr>
        <w:t> </w:t>
      </w:r>
      <w:r>
        <w:rPr/>
        <w:t>em</w:t>
      </w:r>
      <w:r>
        <w:rPr>
          <w:spacing w:val="-2"/>
        </w:rPr>
        <w:t> </w:t>
      </w:r>
      <w:r>
        <w:rPr/>
        <w:t>notas explicativas quando a probabilidade de saída de recursos for possível, inclusive aqueles cujos valores não possam ser estimados. Já os ativos contingentes são objeto de divulgação em notas explicativas quando a entrada de benefícios econômicos for tida como provável. Caso a entrada de benefícios econômicos seja tida como praticamente certa, o ativo relacionado não é um ativo contingente e seu reconhecimento é adequado.</w:t>
      </w:r>
    </w:p>
    <w:p>
      <w:pPr>
        <w:pStyle w:val="BodyText"/>
        <w:spacing w:before="241"/>
        <w:ind w:left="152" w:right="364" w:hanging="1"/>
        <w:jc w:val="both"/>
      </w:pPr>
      <w:r>
        <w:rPr/>
        <w:t>Os passivos contingentes estimados para os processos judiciais em 31 de dezembro para os quais a probabilidade de perda é considerada possível são apresentadas na tabela a seguir:</w:t>
      </w:r>
    </w:p>
    <w:p>
      <w:pPr>
        <w:spacing w:after="0"/>
        <w:jc w:val="both"/>
        <w:sectPr>
          <w:pgSz w:w="11910" w:h="16840"/>
          <w:pgMar w:header="637" w:footer="630" w:top="1780" w:bottom="820" w:left="700" w:right="480"/>
        </w:sectPr>
      </w:pPr>
    </w:p>
    <w:p>
      <w:pPr>
        <w:pStyle w:val="BodyText"/>
        <w:spacing w:before="111"/>
        <w:rPr>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40"/>
        <w:gridCol w:w="1783"/>
        <w:gridCol w:w="955"/>
      </w:tblGrid>
      <w:tr>
        <w:trPr>
          <w:trHeight w:val="206" w:hRule="atLeast"/>
        </w:trPr>
        <w:tc>
          <w:tcPr>
            <w:tcW w:w="7540" w:type="dxa"/>
          </w:tcPr>
          <w:p>
            <w:pPr>
              <w:pStyle w:val="TableParagraph"/>
              <w:rPr>
                <w:rFonts w:ascii="Times New Roman"/>
                <w:sz w:val="14"/>
              </w:rPr>
            </w:pPr>
          </w:p>
        </w:tc>
        <w:tc>
          <w:tcPr>
            <w:tcW w:w="1783" w:type="dxa"/>
            <w:tcBorders>
              <w:bottom w:val="single" w:sz="4" w:space="0" w:color="000000"/>
            </w:tcBorders>
          </w:tcPr>
          <w:p>
            <w:pPr>
              <w:pStyle w:val="TableParagraph"/>
              <w:rPr>
                <w:rFonts w:ascii="Times New Roman"/>
                <w:sz w:val="14"/>
              </w:rPr>
            </w:pPr>
          </w:p>
        </w:tc>
        <w:tc>
          <w:tcPr>
            <w:tcW w:w="955" w:type="dxa"/>
            <w:tcBorders>
              <w:bottom w:val="single" w:sz="4" w:space="0" w:color="000000"/>
            </w:tcBorders>
          </w:tcPr>
          <w:p>
            <w:pPr>
              <w:pStyle w:val="TableParagraph"/>
              <w:spacing w:line="183" w:lineRule="exact"/>
              <w:ind w:right="74"/>
              <w:jc w:val="right"/>
              <w:rPr>
                <w:b/>
                <w:sz w:val="18"/>
              </w:rPr>
            </w:pPr>
            <w:r>
              <w:rPr>
                <w:b/>
                <w:spacing w:val="-2"/>
                <w:sz w:val="18"/>
              </w:rPr>
              <w:t>Estimativa</w:t>
            </w:r>
          </w:p>
        </w:tc>
      </w:tr>
      <w:tr>
        <w:trPr>
          <w:trHeight w:val="235" w:hRule="atLeast"/>
        </w:trPr>
        <w:tc>
          <w:tcPr>
            <w:tcW w:w="7540" w:type="dxa"/>
          </w:tcPr>
          <w:p>
            <w:pPr>
              <w:pStyle w:val="TableParagraph"/>
              <w:spacing w:line="195" w:lineRule="exact" w:before="20"/>
              <w:ind w:left="102"/>
              <w:rPr>
                <w:b/>
                <w:sz w:val="18"/>
              </w:rPr>
            </w:pPr>
            <w:r>
              <w:rPr>
                <w:b/>
                <w:spacing w:val="-2"/>
                <w:sz w:val="18"/>
              </w:rPr>
              <w:t>Natureza</w:t>
            </w:r>
          </w:p>
        </w:tc>
        <w:tc>
          <w:tcPr>
            <w:tcW w:w="1783" w:type="dxa"/>
            <w:tcBorders>
              <w:top w:val="single" w:sz="4" w:space="0" w:color="000000"/>
              <w:bottom w:val="single" w:sz="18" w:space="0" w:color="000000"/>
            </w:tcBorders>
          </w:tcPr>
          <w:p>
            <w:pPr>
              <w:pStyle w:val="TableParagraph"/>
              <w:spacing w:line="152" w:lineRule="exact" w:before="42"/>
              <w:ind w:left="945"/>
              <w:rPr>
                <w:b/>
                <w:sz w:val="18"/>
              </w:rPr>
            </w:pPr>
            <w:r>
              <w:rPr>
                <w:b/>
                <w:spacing w:val="-4"/>
                <w:sz w:val="18"/>
              </w:rPr>
              <w:t>2022</w:t>
            </w:r>
          </w:p>
        </w:tc>
        <w:tc>
          <w:tcPr>
            <w:tcW w:w="955" w:type="dxa"/>
            <w:tcBorders>
              <w:top w:val="single" w:sz="4" w:space="0" w:color="000000"/>
              <w:bottom w:val="single" w:sz="18" w:space="0" w:color="000000"/>
            </w:tcBorders>
          </w:tcPr>
          <w:p>
            <w:pPr>
              <w:pStyle w:val="TableParagraph"/>
              <w:spacing w:line="152" w:lineRule="exact" w:before="42"/>
              <w:ind w:right="13"/>
              <w:jc w:val="right"/>
              <w:rPr>
                <w:b/>
                <w:sz w:val="18"/>
              </w:rPr>
            </w:pPr>
            <w:r>
              <w:rPr>
                <w:b/>
                <w:spacing w:val="-4"/>
                <w:sz w:val="18"/>
              </w:rPr>
              <w:t>2021</w:t>
            </w:r>
          </w:p>
        </w:tc>
      </w:tr>
      <w:tr>
        <w:trPr>
          <w:trHeight w:val="291" w:hRule="atLeast"/>
        </w:trPr>
        <w:tc>
          <w:tcPr>
            <w:tcW w:w="7540" w:type="dxa"/>
          </w:tcPr>
          <w:p>
            <w:pPr>
              <w:pStyle w:val="TableParagraph"/>
              <w:spacing w:before="30"/>
              <w:ind w:left="102"/>
              <w:rPr>
                <w:sz w:val="18"/>
              </w:rPr>
            </w:pPr>
            <w:r>
              <w:rPr>
                <w:spacing w:val="-2"/>
                <w:sz w:val="18"/>
              </w:rPr>
              <w:t>Cíveis</w:t>
            </w:r>
          </w:p>
        </w:tc>
        <w:tc>
          <w:tcPr>
            <w:tcW w:w="1783" w:type="dxa"/>
            <w:tcBorders>
              <w:top w:val="single" w:sz="18" w:space="0" w:color="000000"/>
            </w:tcBorders>
          </w:tcPr>
          <w:p>
            <w:pPr>
              <w:pStyle w:val="TableParagraph"/>
              <w:spacing w:before="52"/>
              <w:ind w:left="807"/>
              <w:rPr>
                <w:sz w:val="18"/>
              </w:rPr>
            </w:pPr>
            <w:r>
              <w:rPr>
                <w:spacing w:val="-2"/>
                <w:sz w:val="18"/>
              </w:rPr>
              <w:t>12.348</w:t>
            </w:r>
          </w:p>
        </w:tc>
        <w:tc>
          <w:tcPr>
            <w:tcW w:w="955" w:type="dxa"/>
            <w:tcBorders>
              <w:top w:val="single" w:sz="18" w:space="0" w:color="000000"/>
            </w:tcBorders>
          </w:tcPr>
          <w:p>
            <w:pPr>
              <w:pStyle w:val="TableParagraph"/>
              <w:spacing w:before="52"/>
              <w:ind w:right="73"/>
              <w:jc w:val="right"/>
              <w:rPr>
                <w:sz w:val="18"/>
              </w:rPr>
            </w:pPr>
            <w:r>
              <w:rPr>
                <w:spacing w:val="-2"/>
                <w:sz w:val="18"/>
              </w:rPr>
              <w:t>8.737</w:t>
            </w:r>
          </w:p>
        </w:tc>
      </w:tr>
      <w:tr>
        <w:trPr>
          <w:trHeight w:val="262" w:hRule="atLeast"/>
        </w:trPr>
        <w:tc>
          <w:tcPr>
            <w:tcW w:w="7540" w:type="dxa"/>
          </w:tcPr>
          <w:p>
            <w:pPr>
              <w:pStyle w:val="TableParagraph"/>
              <w:spacing w:before="9"/>
              <w:ind w:left="102"/>
              <w:rPr>
                <w:sz w:val="18"/>
              </w:rPr>
            </w:pPr>
            <w:r>
              <w:rPr>
                <w:spacing w:val="-2"/>
                <w:sz w:val="18"/>
              </w:rPr>
              <w:t>Fiscais</w:t>
            </w:r>
          </w:p>
        </w:tc>
        <w:tc>
          <w:tcPr>
            <w:tcW w:w="1783" w:type="dxa"/>
          </w:tcPr>
          <w:p>
            <w:pPr>
              <w:pStyle w:val="TableParagraph"/>
              <w:spacing w:before="9"/>
              <w:ind w:left="807"/>
              <w:rPr>
                <w:sz w:val="18"/>
              </w:rPr>
            </w:pPr>
            <w:r>
              <w:rPr>
                <w:spacing w:val="-2"/>
                <w:sz w:val="18"/>
              </w:rPr>
              <w:t>27.153</w:t>
            </w:r>
          </w:p>
        </w:tc>
        <w:tc>
          <w:tcPr>
            <w:tcW w:w="955" w:type="dxa"/>
          </w:tcPr>
          <w:p>
            <w:pPr>
              <w:pStyle w:val="TableParagraph"/>
              <w:spacing w:before="9"/>
              <w:ind w:right="73"/>
              <w:jc w:val="right"/>
              <w:rPr>
                <w:sz w:val="18"/>
              </w:rPr>
            </w:pPr>
            <w:r>
              <w:rPr>
                <w:spacing w:val="-2"/>
                <w:sz w:val="18"/>
              </w:rPr>
              <w:t>18.900</w:t>
            </w:r>
          </w:p>
        </w:tc>
      </w:tr>
      <w:tr>
        <w:trPr>
          <w:trHeight w:val="186" w:hRule="atLeast"/>
        </w:trPr>
        <w:tc>
          <w:tcPr>
            <w:tcW w:w="7540" w:type="dxa"/>
          </w:tcPr>
          <w:p>
            <w:pPr>
              <w:pStyle w:val="TableParagraph"/>
              <w:spacing w:line="166" w:lineRule="exact"/>
              <w:ind w:left="102"/>
              <w:rPr>
                <w:sz w:val="18"/>
              </w:rPr>
            </w:pPr>
            <w:r>
              <w:rPr>
                <w:spacing w:val="-2"/>
                <w:sz w:val="18"/>
              </w:rPr>
              <w:t>Trabalhistas</w:t>
            </w:r>
          </w:p>
        </w:tc>
        <w:tc>
          <w:tcPr>
            <w:tcW w:w="1783" w:type="dxa"/>
            <w:tcBorders>
              <w:bottom w:val="single" w:sz="24" w:space="0" w:color="000000"/>
            </w:tcBorders>
          </w:tcPr>
          <w:p>
            <w:pPr>
              <w:pStyle w:val="TableParagraph"/>
              <w:spacing w:line="165" w:lineRule="exact"/>
              <w:ind w:left="716"/>
              <w:rPr>
                <w:sz w:val="18"/>
              </w:rPr>
            </w:pPr>
            <w:r>
              <w:rPr>
                <w:spacing w:val="-2"/>
                <w:sz w:val="18"/>
              </w:rPr>
              <w:t>164.739</w:t>
            </w:r>
          </w:p>
        </w:tc>
        <w:tc>
          <w:tcPr>
            <w:tcW w:w="955" w:type="dxa"/>
            <w:tcBorders>
              <w:bottom w:val="single" w:sz="24" w:space="0" w:color="000000"/>
            </w:tcBorders>
          </w:tcPr>
          <w:p>
            <w:pPr>
              <w:pStyle w:val="TableParagraph"/>
              <w:spacing w:line="165" w:lineRule="exact"/>
              <w:ind w:right="13"/>
              <w:jc w:val="right"/>
              <w:rPr>
                <w:sz w:val="18"/>
              </w:rPr>
            </w:pPr>
            <w:r>
              <w:rPr>
                <w:spacing w:val="-2"/>
                <w:sz w:val="18"/>
              </w:rPr>
              <w:t>163.589</w:t>
            </w:r>
          </w:p>
        </w:tc>
      </w:tr>
      <w:tr>
        <w:trPr>
          <w:trHeight w:val="242" w:hRule="atLeast"/>
        </w:trPr>
        <w:tc>
          <w:tcPr>
            <w:tcW w:w="7540" w:type="dxa"/>
          </w:tcPr>
          <w:p>
            <w:pPr>
              <w:pStyle w:val="TableParagraph"/>
              <w:rPr>
                <w:rFonts w:ascii="Times New Roman"/>
                <w:sz w:val="16"/>
              </w:rPr>
            </w:pPr>
          </w:p>
        </w:tc>
        <w:tc>
          <w:tcPr>
            <w:tcW w:w="1783" w:type="dxa"/>
            <w:tcBorders>
              <w:top w:val="single" w:sz="24" w:space="0" w:color="000000"/>
              <w:bottom w:val="single" w:sz="12" w:space="0" w:color="000000"/>
            </w:tcBorders>
          </w:tcPr>
          <w:p>
            <w:pPr>
              <w:pStyle w:val="TableParagraph"/>
              <w:spacing w:line="211" w:lineRule="exact" w:before="13"/>
              <w:ind w:left="717"/>
              <w:rPr>
                <w:sz w:val="18"/>
              </w:rPr>
            </w:pPr>
            <w:r>
              <w:rPr>
                <w:spacing w:val="-2"/>
                <w:sz w:val="18"/>
              </w:rPr>
              <w:t>204.240</w:t>
            </w:r>
          </w:p>
        </w:tc>
        <w:tc>
          <w:tcPr>
            <w:tcW w:w="955" w:type="dxa"/>
            <w:tcBorders>
              <w:top w:val="single" w:sz="24" w:space="0" w:color="000000"/>
              <w:bottom w:val="single" w:sz="12" w:space="0" w:color="000000"/>
            </w:tcBorders>
          </w:tcPr>
          <w:p>
            <w:pPr>
              <w:pStyle w:val="TableParagraph"/>
              <w:spacing w:line="211" w:lineRule="exact" w:before="13"/>
              <w:ind w:right="73"/>
              <w:jc w:val="right"/>
              <w:rPr>
                <w:sz w:val="18"/>
              </w:rPr>
            </w:pPr>
            <w:r>
              <w:rPr>
                <w:spacing w:val="-2"/>
                <w:sz w:val="18"/>
              </w:rPr>
              <w:t>191.226</w:t>
            </w:r>
          </w:p>
        </w:tc>
      </w:tr>
      <w:tr>
        <w:trPr>
          <w:trHeight w:val="505" w:hRule="atLeast"/>
        </w:trPr>
        <w:tc>
          <w:tcPr>
            <w:tcW w:w="7540" w:type="dxa"/>
            <w:tcBorders>
              <w:bottom w:val="single" w:sz="4" w:space="0" w:color="000000"/>
            </w:tcBorders>
          </w:tcPr>
          <w:p>
            <w:pPr>
              <w:pStyle w:val="TableParagraph"/>
              <w:spacing w:before="42"/>
              <w:rPr>
                <w:sz w:val="18"/>
              </w:rPr>
            </w:pPr>
          </w:p>
          <w:p>
            <w:pPr>
              <w:pStyle w:val="TableParagraph"/>
              <w:ind w:left="102"/>
              <w:rPr>
                <w:b/>
                <w:sz w:val="18"/>
              </w:rPr>
            </w:pPr>
            <w:r>
              <w:rPr>
                <w:b/>
                <w:sz w:val="18"/>
              </w:rPr>
              <w:t>Descrição</w:t>
            </w:r>
            <w:r>
              <w:rPr>
                <w:b/>
                <w:spacing w:val="-2"/>
                <w:sz w:val="18"/>
              </w:rPr>
              <w:t> </w:t>
            </w:r>
            <w:r>
              <w:rPr>
                <w:b/>
                <w:sz w:val="18"/>
              </w:rPr>
              <w:t>dos</w:t>
            </w:r>
            <w:r>
              <w:rPr>
                <w:b/>
                <w:spacing w:val="-2"/>
                <w:sz w:val="18"/>
              </w:rPr>
              <w:t> </w:t>
            </w:r>
            <w:r>
              <w:rPr>
                <w:b/>
                <w:sz w:val="18"/>
              </w:rPr>
              <w:t>processos</w:t>
            </w:r>
            <w:r>
              <w:rPr>
                <w:b/>
                <w:spacing w:val="-4"/>
                <w:sz w:val="18"/>
              </w:rPr>
              <w:t> </w:t>
            </w:r>
            <w:r>
              <w:rPr>
                <w:b/>
                <w:sz w:val="18"/>
              </w:rPr>
              <w:t>de</w:t>
            </w:r>
            <w:r>
              <w:rPr>
                <w:b/>
                <w:spacing w:val="-3"/>
                <w:sz w:val="18"/>
              </w:rPr>
              <w:t> </w:t>
            </w:r>
            <w:r>
              <w:rPr>
                <w:b/>
                <w:sz w:val="18"/>
              </w:rPr>
              <w:t>natureza</w:t>
            </w:r>
            <w:r>
              <w:rPr>
                <w:b/>
                <w:spacing w:val="-2"/>
                <w:sz w:val="18"/>
              </w:rPr>
              <w:t> trabalhista:</w:t>
            </w:r>
          </w:p>
        </w:tc>
        <w:tc>
          <w:tcPr>
            <w:tcW w:w="1783" w:type="dxa"/>
            <w:tcBorders>
              <w:top w:val="single" w:sz="12" w:space="0" w:color="000000"/>
              <w:bottom w:val="single" w:sz="4" w:space="0" w:color="000000"/>
            </w:tcBorders>
          </w:tcPr>
          <w:p>
            <w:pPr>
              <w:pStyle w:val="TableParagraph"/>
              <w:rPr>
                <w:rFonts w:ascii="Times New Roman"/>
                <w:sz w:val="20"/>
              </w:rPr>
            </w:pPr>
          </w:p>
        </w:tc>
        <w:tc>
          <w:tcPr>
            <w:tcW w:w="955" w:type="dxa"/>
            <w:tcBorders>
              <w:top w:val="single" w:sz="12" w:space="0" w:color="000000"/>
              <w:bottom w:val="single" w:sz="4" w:space="0" w:color="000000"/>
            </w:tcBorders>
          </w:tcPr>
          <w:p>
            <w:pPr>
              <w:pStyle w:val="TableParagraph"/>
              <w:spacing w:before="42"/>
              <w:rPr>
                <w:sz w:val="18"/>
              </w:rPr>
            </w:pPr>
          </w:p>
          <w:p>
            <w:pPr>
              <w:pStyle w:val="TableParagraph"/>
              <w:ind w:right="74"/>
              <w:jc w:val="right"/>
              <w:rPr>
                <w:b/>
                <w:sz w:val="18"/>
              </w:rPr>
            </w:pPr>
            <w:r>
              <w:rPr>
                <w:b/>
                <w:spacing w:val="-2"/>
                <w:sz w:val="18"/>
              </w:rPr>
              <w:t>Estimativa</w:t>
            </w:r>
          </w:p>
        </w:tc>
      </w:tr>
      <w:tr>
        <w:trPr>
          <w:trHeight w:val="303" w:hRule="atLeast"/>
        </w:trPr>
        <w:tc>
          <w:tcPr>
            <w:tcW w:w="7540" w:type="dxa"/>
            <w:tcBorders>
              <w:top w:val="single" w:sz="4" w:space="0" w:color="000000"/>
            </w:tcBorders>
          </w:tcPr>
          <w:p>
            <w:pPr>
              <w:pStyle w:val="TableParagraph"/>
              <w:rPr>
                <w:rFonts w:ascii="Times New Roman"/>
                <w:sz w:val="20"/>
              </w:rPr>
            </w:pPr>
          </w:p>
        </w:tc>
        <w:tc>
          <w:tcPr>
            <w:tcW w:w="1783" w:type="dxa"/>
            <w:tcBorders>
              <w:top w:val="single" w:sz="4" w:space="0" w:color="000000"/>
            </w:tcBorders>
          </w:tcPr>
          <w:p>
            <w:pPr>
              <w:pStyle w:val="TableParagraph"/>
              <w:tabs>
                <w:tab w:pos="945" w:val="left" w:leader="none"/>
                <w:tab w:pos="1689" w:val="left" w:leader="none"/>
              </w:tabs>
              <w:spacing w:before="42"/>
              <w:ind w:left="18"/>
              <w:rPr>
                <w:b/>
                <w:sz w:val="18"/>
              </w:rPr>
            </w:pPr>
            <w:r>
              <w:rPr>
                <w:rFonts w:ascii="Times New Roman"/>
                <w:sz w:val="18"/>
                <w:u w:val="single"/>
              </w:rPr>
              <w:tab/>
            </w:r>
            <w:r>
              <w:rPr>
                <w:b/>
                <w:spacing w:val="-4"/>
                <w:sz w:val="18"/>
                <w:u w:val="single"/>
              </w:rPr>
              <w:t>2022</w:t>
            </w:r>
            <w:r>
              <w:rPr>
                <w:b/>
                <w:sz w:val="18"/>
                <w:u w:val="single"/>
              </w:rPr>
              <w:tab/>
            </w:r>
          </w:p>
        </w:tc>
        <w:tc>
          <w:tcPr>
            <w:tcW w:w="955" w:type="dxa"/>
            <w:tcBorders>
              <w:top w:val="single" w:sz="4" w:space="0" w:color="000000"/>
            </w:tcBorders>
          </w:tcPr>
          <w:p>
            <w:pPr>
              <w:pStyle w:val="TableParagraph"/>
              <w:spacing w:before="42"/>
              <w:ind w:right="13"/>
              <w:jc w:val="right"/>
              <w:rPr>
                <w:b/>
                <w:sz w:val="18"/>
              </w:rPr>
            </w:pPr>
            <w:r>
              <w:rPr>
                <w:b/>
                <w:spacing w:val="-4"/>
                <w:sz w:val="18"/>
                <w:u w:val="single"/>
              </w:rPr>
              <w:t>2021</w:t>
            </w:r>
          </w:p>
        </w:tc>
      </w:tr>
      <w:tr>
        <w:trPr>
          <w:trHeight w:val="707" w:hRule="atLeast"/>
        </w:trPr>
        <w:tc>
          <w:tcPr>
            <w:tcW w:w="7540" w:type="dxa"/>
          </w:tcPr>
          <w:p>
            <w:pPr>
              <w:pStyle w:val="TableParagraph"/>
              <w:spacing w:before="8"/>
              <w:ind w:left="102"/>
              <w:rPr>
                <w:b/>
                <w:sz w:val="18"/>
              </w:rPr>
            </w:pPr>
            <w:r>
              <w:rPr>
                <w:b/>
                <w:sz w:val="18"/>
              </w:rPr>
              <w:t>Autor:</w:t>
            </w:r>
            <w:r>
              <w:rPr>
                <w:b/>
                <w:spacing w:val="-1"/>
                <w:sz w:val="18"/>
              </w:rPr>
              <w:t> </w:t>
            </w:r>
            <w:r>
              <w:rPr>
                <w:b/>
                <w:spacing w:val="-2"/>
                <w:sz w:val="18"/>
              </w:rPr>
              <w:t>SINDIQUÍMICA</w:t>
            </w:r>
          </w:p>
          <w:p>
            <w:pPr>
              <w:pStyle w:val="TableParagraph"/>
              <w:spacing w:line="235" w:lineRule="auto" w:before="8"/>
              <w:ind w:left="102" w:hanging="1"/>
              <w:rPr>
                <w:sz w:val="18"/>
              </w:rPr>
            </w:pPr>
            <w:r>
              <w:rPr>
                <w:sz w:val="18"/>
              </w:rPr>
              <w:t>1)</w:t>
            </w:r>
            <w:r>
              <w:rPr>
                <w:spacing w:val="-3"/>
                <w:sz w:val="18"/>
              </w:rPr>
              <w:t> </w:t>
            </w:r>
            <w:r>
              <w:rPr>
                <w:sz w:val="18"/>
              </w:rPr>
              <w:t>Indenização</w:t>
            </w:r>
            <w:r>
              <w:rPr>
                <w:spacing w:val="-3"/>
                <w:sz w:val="18"/>
              </w:rPr>
              <w:t> </w:t>
            </w:r>
            <w:r>
              <w:rPr>
                <w:sz w:val="18"/>
              </w:rPr>
              <w:t>trabalhista</w:t>
            </w:r>
            <w:r>
              <w:rPr>
                <w:spacing w:val="-3"/>
                <w:sz w:val="18"/>
              </w:rPr>
              <w:t> </w:t>
            </w:r>
            <w:r>
              <w:rPr>
                <w:sz w:val="18"/>
              </w:rPr>
              <w:t>destacando‐se</w:t>
            </w:r>
            <w:r>
              <w:rPr>
                <w:spacing w:val="-3"/>
                <w:sz w:val="18"/>
              </w:rPr>
              <w:t> </w:t>
            </w:r>
            <w:r>
              <w:rPr>
                <w:sz w:val="18"/>
              </w:rPr>
              <w:t>ações</w:t>
            </w:r>
            <w:r>
              <w:rPr>
                <w:spacing w:val="-3"/>
                <w:sz w:val="18"/>
              </w:rPr>
              <w:t> </w:t>
            </w:r>
            <w:r>
              <w:rPr>
                <w:sz w:val="18"/>
              </w:rPr>
              <w:t>coletivas</w:t>
            </w:r>
            <w:r>
              <w:rPr>
                <w:spacing w:val="-3"/>
                <w:sz w:val="18"/>
              </w:rPr>
              <w:t> </w:t>
            </w:r>
            <w:r>
              <w:rPr>
                <w:sz w:val="18"/>
              </w:rPr>
              <w:t>que</w:t>
            </w:r>
            <w:r>
              <w:rPr>
                <w:spacing w:val="-3"/>
                <w:sz w:val="18"/>
              </w:rPr>
              <w:t> </w:t>
            </w:r>
            <w:r>
              <w:rPr>
                <w:sz w:val="18"/>
              </w:rPr>
              <w:t>requerem</w:t>
            </w:r>
            <w:r>
              <w:rPr>
                <w:spacing w:val="-3"/>
                <w:sz w:val="18"/>
              </w:rPr>
              <w:t> </w:t>
            </w:r>
            <w:r>
              <w:rPr>
                <w:sz w:val="18"/>
              </w:rPr>
              <w:t>a</w:t>
            </w:r>
            <w:r>
              <w:rPr>
                <w:spacing w:val="-3"/>
                <w:sz w:val="18"/>
              </w:rPr>
              <w:t> </w:t>
            </w:r>
            <w:r>
              <w:rPr>
                <w:sz w:val="18"/>
              </w:rPr>
              <w:t>revisão</w:t>
            </w:r>
            <w:r>
              <w:rPr>
                <w:spacing w:val="-4"/>
                <w:sz w:val="18"/>
              </w:rPr>
              <w:t> </w:t>
            </w:r>
            <w:r>
              <w:rPr>
                <w:sz w:val="18"/>
              </w:rPr>
              <w:t>da</w:t>
            </w:r>
            <w:r>
              <w:rPr>
                <w:spacing w:val="-3"/>
                <w:sz w:val="18"/>
              </w:rPr>
              <w:t> </w:t>
            </w:r>
            <w:r>
              <w:rPr>
                <w:sz w:val="18"/>
              </w:rPr>
              <w:t>metodologia</w:t>
            </w:r>
            <w:r>
              <w:rPr>
                <w:spacing w:val="-3"/>
                <w:sz w:val="18"/>
              </w:rPr>
              <w:t> </w:t>
            </w:r>
            <w:r>
              <w:rPr>
                <w:sz w:val="18"/>
              </w:rPr>
              <w:t>de apuração do complemento de Remuneração Mínima por Nível e Regime (RMNR).</w:t>
            </w:r>
          </w:p>
        </w:tc>
        <w:tc>
          <w:tcPr>
            <w:tcW w:w="1783" w:type="dxa"/>
          </w:tcPr>
          <w:p>
            <w:pPr>
              <w:pStyle w:val="TableParagraph"/>
              <w:rPr>
                <w:rFonts w:ascii="Times New Roman"/>
                <w:sz w:val="20"/>
              </w:rPr>
            </w:pPr>
          </w:p>
        </w:tc>
        <w:tc>
          <w:tcPr>
            <w:tcW w:w="955" w:type="dxa"/>
          </w:tcPr>
          <w:p>
            <w:pPr>
              <w:pStyle w:val="TableParagraph"/>
              <w:rPr>
                <w:rFonts w:ascii="Times New Roman"/>
                <w:sz w:val="20"/>
              </w:rPr>
            </w:pPr>
          </w:p>
        </w:tc>
      </w:tr>
      <w:tr>
        <w:trPr>
          <w:trHeight w:val="236" w:hRule="atLeast"/>
        </w:trPr>
        <w:tc>
          <w:tcPr>
            <w:tcW w:w="7540" w:type="dxa"/>
            <w:tcBorders>
              <w:bottom w:val="single" w:sz="4" w:space="0" w:color="000000"/>
            </w:tcBorders>
          </w:tcPr>
          <w:p>
            <w:pPr>
              <w:pStyle w:val="TableParagraph"/>
              <w:rPr>
                <w:rFonts w:ascii="Times New Roman"/>
                <w:sz w:val="16"/>
              </w:rPr>
            </w:pPr>
          </w:p>
        </w:tc>
        <w:tc>
          <w:tcPr>
            <w:tcW w:w="1783" w:type="dxa"/>
            <w:tcBorders>
              <w:bottom w:val="single" w:sz="4" w:space="0" w:color="000000"/>
            </w:tcBorders>
          </w:tcPr>
          <w:p>
            <w:pPr>
              <w:pStyle w:val="TableParagraph"/>
              <w:spacing w:line="211" w:lineRule="exact" w:before="5"/>
              <w:ind w:left="717"/>
              <w:rPr>
                <w:sz w:val="18"/>
              </w:rPr>
            </w:pPr>
            <w:r>
              <w:rPr>
                <w:spacing w:val="-2"/>
                <w:sz w:val="18"/>
              </w:rPr>
              <w:t>142.222</w:t>
            </w:r>
          </w:p>
        </w:tc>
        <w:tc>
          <w:tcPr>
            <w:tcW w:w="955" w:type="dxa"/>
            <w:tcBorders>
              <w:bottom w:val="single" w:sz="4" w:space="0" w:color="000000"/>
            </w:tcBorders>
          </w:tcPr>
          <w:p>
            <w:pPr>
              <w:pStyle w:val="TableParagraph"/>
              <w:spacing w:line="211" w:lineRule="exact" w:before="5"/>
              <w:ind w:right="73"/>
              <w:jc w:val="right"/>
              <w:rPr>
                <w:sz w:val="18"/>
              </w:rPr>
            </w:pPr>
            <w:r>
              <w:rPr>
                <w:spacing w:val="-2"/>
                <w:sz w:val="18"/>
              </w:rPr>
              <w:t>148.728</w:t>
            </w:r>
          </w:p>
        </w:tc>
      </w:tr>
      <w:tr>
        <w:trPr>
          <w:trHeight w:val="282" w:hRule="atLeast"/>
        </w:trPr>
        <w:tc>
          <w:tcPr>
            <w:tcW w:w="7540" w:type="dxa"/>
            <w:tcBorders>
              <w:top w:val="single" w:sz="4" w:space="0" w:color="000000"/>
            </w:tcBorders>
          </w:tcPr>
          <w:p>
            <w:pPr>
              <w:pStyle w:val="TableParagraph"/>
              <w:spacing w:line="219" w:lineRule="exact" w:before="43"/>
              <w:ind w:left="101"/>
              <w:rPr>
                <w:b/>
                <w:sz w:val="18"/>
              </w:rPr>
            </w:pPr>
            <w:r>
              <w:rPr>
                <w:b/>
                <w:sz w:val="18"/>
              </w:rPr>
              <w:t>Autor:</w:t>
            </w:r>
            <w:r>
              <w:rPr>
                <w:b/>
                <w:spacing w:val="-2"/>
                <w:sz w:val="18"/>
              </w:rPr>
              <w:t> </w:t>
            </w:r>
            <w:r>
              <w:rPr>
                <w:b/>
                <w:sz w:val="18"/>
              </w:rPr>
              <w:t>Pessoas físicas ‐</w:t>
            </w:r>
            <w:r>
              <w:rPr>
                <w:b/>
                <w:spacing w:val="-1"/>
                <w:sz w:val="18"/>
              </w:rPr>
              <w:t> </w:t>
            </w:r>
            <w:r>
              <w:rPr>
                <w:b/>
                <w:spacing w:val="-2"/>
                <w:sz w:val="18"/>
              </w:rPr>
              <w:t>diversas</w:t>
            </w:r>
          </w:p>
        </w:tc>
        <w:tc>
          <w:tcPr>
            <w:tcW w:w="1783" w:type="dxa"/>
            <w:tcBorders>
              <w:top w:val="single" w:sz="4" w:space="0" w:color="000000"/>
            </w:tcBorders>
          </w:tcPr>
          <w:p>
            <w:pPr>
              <w:pStyle w:val="TableParagraph"/>
              <w:rPr>
                <w:rFonts w:ascii="Times New Roman"/>
                <w:sz w:val="20"/>
              </w:rPr>
            </w:pPr>
          </w:p>
        </w:tc>
        <w:tc>
          <w:tcPr>
            <w:tcW w:w="955" w:type="dxa"/>
            <w:tcBorders>
              <w:top w:val="single" w:sz="4" w:space="0" w:color="000000"/>
            </w:tcBorders>
          </w:tcPr>
          <w:p>
            <w:pPr>
              <w:pStyle w:val="TableParagraph"/>
              <w:rPr>
                <w:rFonts w:ascii="Times New Roman"/>
                <w:sz w:val="20"/>
              </w:rPr>
            </w:pPr>
          </w:p>
        </w:tc>
      </w:tr>
      <w:tr>
        <w:trPr>
          <w:trHeight w:val="247" w:hRule="atLeast"/>
        </w:trPr>
        <w:tc>
          <w:tcPr>
            <w:tcW w:w="7540" w:type="dxa"/>
            <w:tcBorders>
              <w:bottom w:val="single" w:sz="4" w:space="0" w:color="000000"/>
            </w:tcBorders>
          </w:tcPr>
          <w:p>
            <w:pPr>
              <w:pStyle w:val="TableParagraph"/>
              <w:spacing w:line="206" w:lineRule="exact"/>
              <w:ind w:left="102"/>
              <w:rPr>
                <w:sz w:val="18"/>
              </w:rPr>
            </w:pPr>
            <w:r>
              <w:rPr>
                <w:sz w:val="18"/>
              </w:rPr>
              <w:t>2)</w:t>
            </w:r>
            <w:r>
              <w:rPr>
                <w:spacing w:val="-4"/>
                <w:sz w:val="18"/>
              </w:rPr>
              <w:t> </w:t>
            </w:r>
            <w:r>
              <w:rPr>
                <w:sz w:val="18"/>
              </w:rPr>
              <w:t>Outros</w:t>
            </w:r>
            <w:r>
              <w:rPr>
                <w:spacing w:val="-3"/>
                <w:sz w:val="18"/>
              </w:rPr>
              <w:t> </w:t>
            </w:r>
            <w:r>
              <w:rPr>
                <w:sz w:val="18"/>
              </w:rPr>
              <w:t>processos</w:t>
            </w:r>
            <w:r>
              <w:rPr>
                <w:spacing w:val="-3"/>
                <w:sz w:val="18"/>
              </w:rPr>
              <w:t> </w:t>
            </w:r>
            <w:r>
              <w:rPr>
                <w:sz w:val="18"/>
              </w:rPr>
              <w:t>trabalhistas</w:t>
            </w:r>
            <w:r>
              <w:rPr>
                <w:spacing w:val="-4"/>
                <w:sz w:val="18"/>
              </w:rPr>
              <w:t> </w:t>
            </w:r>
            <w:r>
              <w:rPr>
                <w:sz w:val="18"/>
              </w:rPr>
              <w:t>de</w:t>
            </w:r>
            <w:r>
              <w:rPr>
                <w:spacing w:val="-3"/>
                <w:sz w:val="18"/>
              </w:rPr>
              <w:t> </w:t>
            </w:r>
            <w:r>
              <w:rPr>
                <w:sz w:val="18"/>
              </w:rPr>
              <w:t>diversos</w:t>
            </w:r>
            <w:r>
              <w:rPr>
                <w:spacing w:val="-3"/>
                <w:sz w:val="18"/>
              </w:rPr>
              <w:t> </w:t>
            </w:r>
            <w:r>
              <w:rPr>
                <w:spacing w:val="-2"/>
                <w:sz w:val="18"/>
              </w:rPr>
              <w:t>autores</w:t>
            </w:r>
          </w:p>
        </w:tc>
        <w:tc>
          <w:tcPr>
            <w:tcW w:w="1783" w:type="dxa"/>
            <w:tcBorders>
              <w:bottom w:val="single" w:sz="4" w:space="0" w:color="000000"/>
            </w:tcBorders>
          </w:tcPr>
          <w:p>
            <w:pPr>
              <w:pStyle w:val="TableParagraph"/>
              <w:spacing w:line="211" w:lineRule="exact" w:before="16"/>
              <w:ind w:left="807"/>
              <w:rPr>
                <w:sz w:val="18"/>
              </w:rPr>
            </w:pPr>
            <w:r>
              <w:rPr>
                <w:spacing w:val="-2"/>
                <w:sz w:val="18"/>
              </w:rPr>
              <w:t>22.517</w:t>
            </w:r>
          </w:p>
        </w:tc>
        <w:tc>
          <w:tcPr>
            <w:tcW w:w="955" w:type="dxa"/>
            <w:tcBorders>
              <w:bottom w:val="single" w:sz="4" w:space="0" w:color="000000"/>
            </w:tcBorders>
          </w:tcPr>
          <w:p>
            <w:pPr>
              <w:pStyle w:val="TableParagraph"/>
              <w:spacing w:line="211" w:lineRule="exact" w:before="16"/>
              <w:ind w:right="73"/>
              <w:jc w:val="right"/>
              <w:rPr>
                <w:sz w:val="18"/>
              </w:rPr>
            </w:pPr>
            <w:r>
              <w:rPr>
                <w:spacing w:val="-2"/>
                <w:sz w:val="18"/>
              </w:rPr>
              <w:t>14.861</w:t>
            </w:r>
          </w:p>
        </w:tc>
      </w:tr>
      <w:tr>
        <w:trPr>
          <w:trHeight w:val="334" w:hRule="atLeast"/>
        </w:trPr>
        <w:tc>
          <w:tcPr>
            <w:tcW w:w="7540" w:type="dxa"/>
            <w:tcBorders>
              <w:top w:val="single" w:sz="4" w:space="0" w:color="000000"/>
              <w:bottom w:val="single" w:sz="4" w:space="0" w:color="000000"/>
            </w:tcBorders>
          </w:tcPr>
          <w:p>
            <w:pPr>
              <w:pStyle w:val="TableParagraph"/>
              <w:spacing w:before="1"/>
              <w:ind w:left="102"/>
              <w:rPr>
                <w:sz w:val="18"/>
              </w:rPr>
            </w:pPr>
            <w:r>
              <w:rPr>
                <w:spacing w:val="-2"/>
                <w:sz w:val="18"/>
              </w:rPr>
              <w:t>Total</w:t>
            </w:r>
          </w:p>
        </w:tc>
        <w:tc>
          <w:tcPr>
            <w:tcW w:w="1783" w:type="dxa"/>
            <w:tcBorders>
              <w:top w:val="single" w:sz="4" w:space="0" w:color="000000"/>
              <w:bottom w:val="single" w:sz="4" w:space="0" w:color="000000"/>
            </w:tcBorders>
          </w:tcPr>
          <w:p>
            <w:pPr>
              <w:pStyle w:val="TableParagraph"/>
              <w:spacing w:before="42"/>
              <w:ind w:left="717"/>
              <w:rPr>
                <w:sz w:val="18"/>
              </w:rPr>
            </w:pPr>
            <w:r>
              <w:rPr>
                <w:spacing w:val="-2"/>
                <w:sz w:val="18"/>
              </w:rPr>
              <w:t>164.739</w:t>
            </w:r>
          </w:p>
        </w:tc>
        <w:tc>
          <w:tcPr>
            <w:tcW w:w="955" w:type="dxa"/>
            <w:tcBorders>
              <w:top w:val="single" w:sz="4" w:space="0" w:color="000000"/>
              <w:bottom w:val="single" w:sz="4" w:space="0" w:color="000000"/>
            </w:tcBorders>
          </w:tcPr>
          <w:p>
            <w:pPr>
              <w:pStyle w:val="TableParagraph"/>
              <w:spacing w:before="42"/>
              <w:ind w:right="73"/>
              <w:jc w:val="right"/>
              <w:rPr>
                <w:sz w:val="18"/>
              </w:rPr>
            </w:pPr>
            <w:r>
              <w:rPr>
                <w:spacing w:val="-2"/>
                <w:sz w:val="18"/>
              </w:rPr>
              <w:t>163.589</w:t>
            </w:r>
          </w:p>
        </w:tc>
      </w:tr>
      <w:tr>
        <w:trPr>
          <w:trHeight w:val="261" w:hRule="atLeast"/>
        </w:trPr>
        <w:tc>
          <w:tcPr>
            <w:tcW w:w="7540" w:type="dxa"/>
            <w:tcBorders>
              <w:top w:val="single" w:sz="4" w:space="0" w:color="000000"/>
              <w:bottom w:val="single" w:sz="4" w:space="0" w:color="000000"/>
            </w:tcBorders>
          </w:tcPr>
          <w:p>
            <w:pPr>
              <w:pStyle w:val="TableParagraph"/>
              <w:spacing w:before="2"/>
              <w:ind w:left="102"/>
              <w:rPr>
                <w:b/>
                <w:sz w:val="18"/>
              </w:rPr>
            </w:pPr>
            <w:r>
              <w:rPr>
                <w:b/>
                <w:sz w:val="18"/>
              </w:rPr>
              <w:t>Processos</w:t>
            </w:r>
            <w:r>
              <w:rPr>
                <w:b/>
                <w:spacing w:val="-1"/>
                <w:sz w:val="18"/>
              </w:rPr>
              <w:t> </w:t>
            </w:r>
            <w:r>
              <w:rPr>
                <w:b/>
                <w:spacing w:val="-2"/>
                <w:sz w:val="18"/>
              </w:rPr>
              <w:t>administrativos:</w:t>
            </w:r>
          </w:p>
        </w:tc>
        <w:tc>
          <w:tcPr>
            <w:tcW w:w="1783" w:type="dxa"/>
            <w:tcBorders>
              <w:top w:val="single" w:sz="4" w:space="0" w:color="000000"/>
              <w:bottom w:val="single" w:sz="4" w:space="0" w:color="000000"/>
            </w:tcBorders>
          </w:tcPr>
          <w:p>
            <w:pPr>
              <w:pStyle w:val="TableParagraph"/>
              <w:rPr>
                <w:rFonts w:ascii="Times New Roman"/>
                <w:sz w:val="18"/>
              </w:rPr>
            </w:pPr>
          </w:p>
        </w:tc>
        <w:tc>
          <w:tcPr>
            <w:tcW w:w="955" w:type="dxa"/>
            <w:tcBorders>
              <w:top w:val="single" w:sz="4" w:space="0" w:color="000000"/>
              <w:bottom w:val="single" w:sz="4" w:space="0" w:color="000000"/>
            </w:tcBorders>
          </w:tcPr>
          <w:p>
            <w:pPr>
              <w:pStyle w:val="TableParagraph"/>
              <w:rPr>
                <w:rFonts w:ascii="Times New Roman"/>
                <w:sz w:val="18"/>
              </w:rPr>
            </w:pPr>
          </w:p>
        </w:tc>
      </w:tr>
      <w:tr>
        <w:trPr>
          <w:trHeight w:val="258" w:hRule="atLeast"/>
        </w:trPr>
        <w:tc>
          <w:tcPr>
            <w:tcW w:w="7540" w:type="dxa"/>
            <w:tcBorders>
              <w:top w:val="single" w:sz="4" w:space="0" w:color="000000"/>
            </w:tcBorders>
          </w:tcPr>
          <w:p>
            <w:pPr>
              <w:pStyle w:val="TableParagraph"/>
              <w:spacing w:before="5"/>
              <w:ind w:left="102"/>
              <w:rPr>
                <w:b/>
                <w:sz w:val="18"/>
              </w:rPr>
            </w:pPr>
            <w:r>
              <w:rPr>
                <w:b/>
                <w:sz w:val="18"/>
              </w:rPr>
              <w:t>Autor:</w:t>
            </w:r>
            <w:r>
              <w:rPr>
                <w:b/>
                <w:spacing w:val="-2"/>
                <w:sz w:val="18"/>
              </w:rPr>
              <w:t> </w:t>
            </w:r>
            <w:r>
              <w:rPr>
                <w:b/>
                <w:sz w:val="18"/>
              </w:rPr>
              <w:t>Prefeitura</w:t>
            </w:r>
            <w:r>
              <w:rPr>
                <w:b/>
                <w:spacing w:val="-1"/>
                <w:sz w:val="18"/>
              </w:rPr>
              <w:t> </w:t>
            </w:r>
            <w:r>
              <w:rPr>
                <w:b/>
                <w:sz w:val="18"/>
              </w:rPr>
              <w:t>do</w:t>
            </w:r>
            <w:r>
              <w:rPr>
                <w:b/>
                <w:spacing w:val="-2"/>
                <w:sz w:val="18"/>
              </w:rPr>
              <w:t> </w:t>
            </w:r>
            <w:r>
              <w:rPr>
                <w:b/>
                <w:sz w:val="18"/>
              </w:rPr>
              <w:t>Município</w:t>
            </w:r>
            <w:r>
              <w:rPr>
                <w:b/>
                <w:spacing w:val="-2"/>
                <w:sz w:val="18"/>
              </w:rPr>
              <w:t> </w:t>
            </w:r>
            <w:r>
              <w:rPr>
                <w:b/>
                <w:sz w:val="18"/>
              </w:rPr>
              <w:t>de</w:t>
            </w:r>
            <w:r>
              <w:rPr>
                <w:b/>
                <w:spacing w:val="-1"/>
                <w:sz w:val="18"/>
              </w:rPr>
              <w:t> </w:t>
            </w:r>
            <w:r>
              <w:rPr>
                <w:b/>
                <w:spacing w:val="-2"/>
                <w:sz w:val="18"/>
              </w:rPr>
              <w:t>Araucária:</w:t>
            </w:r>
          </w:p>
        </w:tc>
        <w:tc>
          <w:tcPr>
            <w:tcW w:w="1783" w:type="dxa"/>
            <w:tcBorders>
              <w:top w:val="single" w:sz="4" w:space="0" w:color="000000"/>
            </w:tcBorders>
          </w:tcPr>
          <w:p>
            <w:pPr>
              <w:pStyle w:val="TableParagraph"/>
              <w:rPr>
                <w:rFonts w:ascii="Times New Roman"/>
                <w:sz w:val="18"/>
              </w:rPr>
            </w:pPr>
          </w:p>
        </w:tc>
        <w:tc>
          <w:tcPr>
            <w:tcW w:w="955" w:type="dxa"/>
            <w:tcBorders>
              <w:top w:val="single" w:sz="4" w:space="0" w:color="000000"/>
            </w:tcBorders>
          </w:tcPr>
          <w:p>
            <w:pPr>
              <w:pStyle w:val="TableParagraph"/>
              <w:rPr>
                <w:rFonts w:ascii="Times New Roman"/>
                <w:sz w:val="18"/>
              </w:rPr>
            </w:pPr>
          </w:p>
        </w:tc>
      </w:tr>
      <w:tr>
        <w:trPr>
          <w:trHeight w:val="267" w:hRule="atLeast"/>
        </w:trPr>
        <w:tc>
          <w:tcPr>
            <w:tcW w:w="7540" w:type="dxa"/>
          </w:tcPr>
          <w:p>
            <w:pPr>
              <w:pStyle w:val="TableParagraph"/>
              <w:spacing w:before="1"/>
              <w:ind w:left="102"/>
              <w:rPr>
                <w:sz w:val="18"/>
              </w:rPr>
            </w:pPr>
            <w:r>
              <w:rPr>
                <w:sz w:val="18"/>
              </w:rPr>
              <w:t>3)</w:t>
            </w:r>
            <w:r>
              <w:rPr>
                <w:spacing w:val="-3"/>
                <w:sz w:val="18"/>
              </w:rPr>
              <w:t> </w:t>
            </w:r>
            <w:r>
              <w:rPr>
                <w:sz w:val="18"/>
              </w:rPr>
              <w:t>Auto</w:t>
            </w:r>
            <w:r>
              <w:rPr>
                <w:spacing w:val="-2"/>
                <w:sz w:val="18"/>
              </w:rPr>
              <w:t> </w:t>
            </w:r>
            <w:r>
              <w:rPr>
                <w:sz w:val="18"/>
              </w:rPr>
              <w:t>de</w:t>
            </w:r>
            <w:r>
              <w:rPr>
                <w:spacing w:val="-3"/>
                <w:sz w:val="18"/>
              </w:rPr>
              <w:t> </w:t>
            </w:r>
            <w:r>
              <w:rPr>
                <w:sz w:val="18"/>
              </w:rPr>
              <w:t>Infração</w:t>
            </w:r>
            <w:r>
              <w:rPr>
                <w:spacing w:val="-2"/>
                <w:sz w:val="18"/>
              </w:rPr>
              <w:t> </w:t>
            </w:r>
            <w:r>
              <w:rPr>
                <w:sz w:val="18"/>
              </w:rPr>
              <w:t>217/2019,</w:t>
            </w:r>
            <w:r>
              <w:rPr>
                <w:spacing w:val="-4"/>
                <w:sz w:val="18"/>
              </w:rPr>
              <w:t> </w:t>
            </w:r>
            <w:r>
              <w:rPr>
                <w:sz w:val="18"/>
              </w:rPr>
              <w:t>da</w:t>
            </w:r>
            <w:r>
              <w:rPr>
                <w:spacing w:val="-2"/>
                <w:sz w:val="18"/>
              </w:rPr>
              <w:t> </w:t>
            </w:r>
            <w:r>
              <w:rPr>
                <w:sz w:val="18"/>
              </w:rPr>
              <w:t>Prefeitura</w:t>
            </w:r>
            <w:r>
              <w:rPr>
                <w:spacing w:val="-2"/>
                <w:sz w:val="18"/>
              </w:rPr>
              <w:t> </w:t>
            </w:r>
            <w:r>
              <w:rPr>
                <w:sz w:val="18"/>
              </w:rPr>
              <w:t>do</w:t>
            </w:r>
            <w:r>
              <w:rPr>
                <w:spacing w:val="-2"/>
                <w:sz w:val="18"/>
              </w:rPr>
              <w:t> </w:t>
            </w:r>
            <w:r>
              <w:rPr>
                <w:sz w:val="18"/>
              </w:rPr>
              <w:t>Município</w:t>
            </w:r>
            <w:r>
              <w:rPr>
                <w:spacing w:val="-2"/>
                <w:sz w:val="18"/>
              </w:rPr>
              <w:t> </w:t>
            </w:r>
            <w:r>
              <w:rPr>
                <w:sz w:val="18"/>
              </w:rPr>
              <w:t>de</w:t>
            </w:r>
            <w:r>
              <w:rPr>
                <w:spacing w:val="-2"/>
                <w:sz w:val="18"/>
              </w:rPr>
              <w:t> </w:t>
            </w:r>
            <w:r>
              <w:rPr>
                <w:sz w:val="18"/>
              </w:rPr>
              <w:t>Araucária</w:t>
            </w:r>
            <w:r>
              <w:rPr>
                <w:spacing w:val="-2"/>
                <w:sz w:val="18"/>
              </w:rPr>
              <w:t> </w:t>
            </w:r>
            <w:r>
              <w:rPr>
                <w:sz w:val="18"/>
              </w:rPr>
              <w:t>referente</w:t>
            </w:r>
            <w:r>
              <w:rPr>
                <w:spacing w:val="-3"/>
                <w:sz w:val="18"/>
              </w:rPr>
              <w:t> </w:t>
            </w:r>
            <w:r>
              <w:rPr>
                <w:sz w:val="18"/>
              </w:rPr>
              <w:t>cobrança</w:t>
            </w:r>
            <w:r>
              <w:rPr>
                <w:spacing w:val="-2"/>
                <w:sz w:val="18"/>
              </w:rPr>
              <w:t> </w:t>
            </w:r>
            <w:r>
              <w:rPr>
                <w:sz w:val="18"/>
              </w:rPr>
              <w:t>de</w:t>
            </w:r>
            <w:r>
              <w:rPr>
                <w:spacing w:val="-2"/>
                <w:sz w:val="18"/>
              </w:rPr>
              <w:t> </w:t>
            </w:r>
            <w:r>
              <w:rPr>
                <w:spacing w:val="-4"/>
                <w:sz w:val="18"/>
              </w:rPr>
              <w:t>ISS.</w:t>
            </w:r>
          </w:p>
        </w:tc>
        <w:tc>
          <w:tcPr>
            <w:tcW w:w="1783" w:type="dxa"/>
          </w:tcPr>
          <w:p>
            <w:pPr>
              <w:pStyle w:val="TableParagraph"/>
              <w:rPr>
                <w:rFonts w:ascii="Times New Roman"/>
                <w:sz w:val="18"/>
              </w:rPr>
            </w:pPr>
          </w:p>
        </w:tc>
        <w:tc>
          <w:tcPr>
            <w:tcW w:w="955" w:type="dxa"/>
          </w:tcPr>
          <w:p>
            <w:pPr>
              <w:pStyle w:val="TableParagraph"/>
              <w:rPr>
                <w:rFonts w:ascii="Times New Roman"/>
                <w:sz w:val="18"/>
              </w:rPr>
            </w:pPr>
          </w:p>
        </w:tc>
      </w:tr>
      <w:tr>
        <w:trPr>
          <w:trHeight w:val="242" w:hRule="atLeast"/>
        </w:trPr>
        <w:tc>
          <w:tcPr>
            <w:tcW w:w="7540" w:type="dxa"/>
            <w:tcBorders>
              <w:bottom w:val="single" w:sz="12" w:space="0" w:color="000000"/>
            </w:tcBorders>
          </w:tcPr>
          <w:p>
            <w:pPr>
              <w:pStyle w:val="TableParagraph"/>
              <w:rPr>
                <w:rFonts w:ascii="Times New Roman"/>
                <w:sz w:val="16"/>
              </w:rPr>
            </w:pPr>
          </w:p>
        </w:tc>
        <w:tc>
          <w:tcPr>
            <w:tcW w:w="1783" w:type="dxa"/>
            <w:tcBorders>
              <w:bottom w:val="single" w:sz="12" w:space="0" w:color="000000"/>
            </w:tcBorders>
          </w:tcPr>
          <w:p>
            <w:pPr>
              <w:pStyle w:val="TableParagraph"/>
              <w:spacing w:line="209" w:lineRule="exact" w:before="13"/>
              <w:ind w:left="807"/>
              <w:rPr>
                <w:sz w:val="18"/>
              </w:rPr>
            </w:pPr>
            <w:r>
              <w:rPr>
                <w:spacing w:val="-2"/>
                <w:sz w:val="18"/>
              </w:rPr>
              <w:t>27.153</w:t>
            </w:r>
          </w:p>
        </w:tc>
        <w:tc>
          <w:tcPr>
            <w:tcW w:w="955" w:type="dxa"/>
            <w:tcBorders>
              <w:bottom w:val="single" w:sz="12" w:space="0" w:color="000000"/>
            </w:tcBorders>
          </w:tcPr>
          <w:p>
            <w:pPr>
              <w:pStyle w:val="TableParagraph"/>
              <w:spacing w:line="209" w:lineRule="exact" w:before="13"/>
              <w:ind w:right="73"/>
              <w:jc w:val="right"/>
              <w:rPr>
                <w:sz w:val="18"/>
              </w:rPr>
            </w:pPr>
            <w:r>
              <w:rPr>
                <w:spacing w:val="-2"/>
                <w:sz w:val="18"/>
              </w:rPr>
              <w:t>18.900</w:t>
            </w:r>
          </w:p>
        </w:tc>
      </w:tr>
      <w:tr>
        <w:trPr>
          <w:trHeight w:val="250" w:hRule="atLeast"/>
        </w:trPr>
        <w:tc>
          <w:tcPr>
            <w:tcW w:w="7540" w:type="dxa"/>
            <w:tcBorders>
              <w:top w:val="single" w:sz="12" w:space="0" w:color="000000"/>
            </w:tcBorders>
          </w:tcPr>
          <w:p>
            <w:pPr>
              <w:pStyle w:val="TableParagraph"/>
              <w:spacing w:before="1"/>
              <w:ind w:left="102"/>
              <w:rPr>
                <w:b/>
                <w:sz w:val="18"/>
              </w:rPr>
            </w:pPr>
            <w:r>
              <w:rPr>
                <w:b/>
                <w:sz w:val="18"/>
              </w:rPr>
              <w:t>Autores:</w:t>
            </w:r>
            <w:r>
              <w:rPr>
                <w:b/>
                <w:spacing w:val="-1"/>
                <w:sz w:val="18"/>
              </w:rPr>
              <w:t> </w:t>
            </w:r>
            <w:r>
              <w:rPr>
                <w:b/>
                <w:spacing w:val="-2"/>
                <w:sz w:val="18"/>
              </w:rPr>
              <w:t>Diversos</w:t>
            </w:r>
          </w:p>
        </w:tc>
        <w:tc>
          <w:tcPr>
            <w:tcW w:w="1783" w:type="dxa"/>
            <w:tcBorders>
              <w:top w:val="single" w:sz="12" w:space="0" w:color="000000"/>
            </w:tcBorders>
          </w:tcPr>
          <w:p>
            <w:pPr>
              <w:pStyle w:val="TableParagraph"/>
              <w:rPr>
                <w:rFonts w:ascii="Times New Roman"/>
                <w:sz w:val="18"/>
              </w:rPr>
            </w:pPr>
          </w:p>
        </w:tc>
        <w:tc>
          <w:tcPr>
            <w:tcW w:w="955" w:type="dxa"/>
            <w:tcBorders>
              <w:top w:val="single" w:sz="12" w:space="0" w:color="000000"/>
            </w:tcBorders>
          </w:tcPr>
          <w:p>
            <w:pPr>
              <w:pStyle w:val="TableParagraph"/>
              <w:rPr>
                <w:rFonts w:ascii="Times New Roman"/>
                <w:sz w:val="18"/>
              </w:rPr>
            </w:pPr>
          </w:p>
        </w:tc>
      </w:tr>
      <w:tr>
        <w:trPr>
          <w:trHeight w:val="259" w:hRule="atLeast"/>
        </w:trPr>
        <w:tc>
          <w:tcPr>
            <w:tcW w:w="7540" w:type="dxa"/>
            <w:tcBorders>
              <w:bottom w:val="single" w:sz="12" w:space="0" w:color="000000"/>
            </w:tcBorders>
          </w:tcPr>
          <w:p>
            <w:pPr>
              <w:pStyle w:val="TableParagraph"/>
              <w:spacing w:line="216" w:lineRule="exact"/>
              <w:ind w:left="102"/>
              <w:rPr>
                <w:sz w:val="18"/>
              </w:rPr>
            </w:pPr>
            <w:r>
              <w:rPr>
                <w:sz w:val="18"/>
              </w:rPr>
              <w:t>4)</w:t>
            </w:r>
            <w:r>
              <w:rPr>
                <w:spacing w:val="-2"/>
                <w:sz w:val="18"/>
              </w:rPr>
              <w:t> </w:t>
            </w:r>
            <w:r>
              <w:rPr>
                <w:sz w:val="18"/>
              </w:rPr>
              <w:t>Outros</w:t>
            </w:r>
            <w:r>
              <w:rPr>
                <w:spacing w:val="-1"/>
                <w:sz w:val="18"/>
              </w:rPr>
              <w:t> </w:t>
            </w:r>
            <w:r>
              <w:rPr>
                <w:sz w:val="18"/>
              </w:rPr>
              <w:t>processos</w:t>
            </w:r>
            <w:r>
              <w:rPr>
                <w:spacing w:val="-2"/>
                <w:sz w:val="18"/>
              </w:rPr>
              <w:t> </w:t>
            </w:r>
            <w:r>
              <w:rPr>
                <w:sz w:val="18"/>
              </w:rPr>
              <w:t>de</w:t>
            </w:r>
            <w:r>
              <w:rPr>
                <w:spacing w:val="-2"/>
                <w:sz w:val="18"/>
              </w:rPr>
              <w:t> </w:t>
            </w:r>
            <w:r>
              <w:rPr>
                <w:sz w:val="18"/>
              </w:rPr>
              <w:t>diversos</w:t>
            </w:r>
            <w:r>
              <w:rPr>
                <w:spacing w:val="-2"/>
                <w:sz w:val="18"/>
              </w:rPr>
              <w:t> autores</w:t>
            </w:r>
          </w:p>
        </w:tc>
        <w:tc>
          <w:tcPr>
            <w:tcW w:w="1783" w:type="dxa"/>
            <w:tcBorders>
              <w:bottom w:val="single" w:sz="12" w:space="0" w:color="000000"/>
            </w:tcBorders>
          </w:tcPr>
          <w:p>
            <w:pPr>
              <w:pStyle w:val="TableParagraph"/>
              <w:spacing w:line="211" w:lineRule="exact" w:before="28"/>
              <w:ind w:left="807"/>
              <w:rPr>
                <w:sz w:val="18"/>
              </w:rPr>
            </w:pPr>
            <w:r>
              <w:rPr>
                <w:spacing w:val="-2"/>
                <w:sz w:val="18"/>
              </w:rPr>
              <w:t>12.348</w:t>
            </w:r>
          </w:p>
        </w:tc>
        <w:tc>
          <w:tcPr>
            <w:tcW w:w="955" w:type="dxa"/>
            <w:tcBorders>
              <w:bottom w:val="single" w:sz="12" w:space="0" w:color="000000"/>
            </w:tcBorders>
          </w:tcPr>
          <w:p>
            <w:pPr>
              <w:pStyle w:val="TableParagraph"/>
              <w:spacing w:line="211" w:lineRule="exact" w:before="28"/>
              <w:ind w:right="73"/>
              <w:jc w:val="right"/>
              <w:rPr>
                <w:sz w:val="18"/>
              </w:rPr>
            </w:pPr>
            <w:r>
              <w:rPr>
                <w:spacing w:val="-2"/>
                <w:sz w:val="18"/>
              </w:rPr>
              <w:t>8.737</w:t>
            </w:r>
          </w:p>
        </w:tc>
      </w:tr>
      <w:tr>
        <w:trPr>
          <w:trHeight w:val="240" w:hRule="atLeast"/>
        </w:trPr>
        <w:tc>
          <w:tcPr>
            <w:tcW w:w="7540" w:type="dxa"/>
            <w:tcBorders>
              <w:top w:val="single" w:sz="12" w:space="0" w:color="000000"/>
              <w:bottom w:val="single" w:sz="12" w:space="0" w:color="000000"/>
            </w:tcBorders>
          </w:tcPr>
          <w:p>
            <w:pPr>
              <w:pStyle w:val="TableParagraph"/>
              <w:ind w:left="102"/>
              <w:rPr>
                <w:sz w:val="18"/>
              </w:rPr>
            </w:pPr>
            <w:r>
              <w:rPr>
                <w:spacing w:val="-2"/>
                <w:sz w:val="18"/>
              </w:rPr>
              <w:t>Total</w:t>
            </w:r>
          </w:p>
        </w:tc>
        <w:tc>
          <w:tcPr>
            <w:tcW w:w="1783" w:type="dxa"/>
            <w:tcBorders>
              <w:top w:val="single" w:sz="12" w:space="0" w:color="000000"/>
              <w:bottom w:val="single" w:sz="12" w:space="0" w:color="000000"/>
            </w:tcBorders>
          </w:tcPr>
          <w:p>
            <w:pPr>
              <w:pStyle w:val="TableParagraph"/>
              <w:spacing w:line="211" w:lineRule="exact" w:before="8"/>
              <w:ind w:left="807"/>
              <w:rPr>
                <w:sz w:val="18"/>
              </w:rPr>
            </w:pPr>
            <w:r>
              <w:rPr>
                <w:spacing w:val="-2"/>
                <w:sz w:val="18"/>
              </w:rPr>
              <w:t>39.501</w:t>
            </w:r>
          </w:p>
        </w:tc>
        <w:tc>
          <w:tcPr>
            <w:tcW w:w="955" w:type="dxa"/>
            <w:tcBorders>
              <w:top w:val="single" w:sz="12" w:space="0" w:color="000000"/>
              <w:bottom w:val="single" w:sz="12" w:space="0" w:color="000000"/>
            </w:tcBorders>
          </w:tcPr>
          <w:p>
            <w:pPr>
              <w:pStyle w:val="TableParagraph"/>
              <w:spacing w:line="211" w:lineRule="exact" w:before="8"/>
              <w:ind w:right="73"/>
              <w:jc w:val="right"/>
              <w:rPr>
                <w:sz w:val="18"/>
              </w:rPr>
            </w:pPr>
            <w:r>
              <w:rPr>
                <w:spacing w:val="-2"/>
                <w:sz w:val="18"/>
              </w:rPr>
              <w:t>27.637</w:t>
            </w:r>
          </w:p>
        </w:tc>
      </w:tr>
      <w:tr>
        <w:trPr>
          <w:trHeight w:val="673" w:hRule="atLeast"/>
        </w:trPr>
        <w:tc>
          <w:tcPr>
            <w:tcW w:w="7540" w:type="dxa"/>
            <w:tcBorders>
              <w:top w:val="single" w:sz="12" w:space="0" w:color="000000"/>
            </w:tcBorders>
          </w:tcPr>
          <w:p>
            <w:pPr>
              <w:pStyle w:val="TableParagraph"/>
              <w:spacing w:before="91"/>
              <w:rPr>
                <w:sz w:val="24"/>
              </w:rPr>
            </w:pPr>
          </w:p>
          <w:p>
            <w:pPr>
              <w:pStyle w:val="TableParagraph"/>
              <w:tabs>
                <w:tab w:pos="743" w:val="left" w:leader="none"/>
              </w:tabs>
              <w:spacing w:line="269" w:lineRule="exact"/>
              <w:ind w:left="34"/>
              <w:rPr>
                <w:b/>
                <w:sz w:val="24"/>
              </w:rPr>
            </w:pPr>
            <w:r>
              <w:rPr>
                <w:b/>
                <w:spacing w:val="-2"/>
                <w:sz w:val="24"/>
              </w:rPr>
              <w:t>16.2.</w:t>
            </w:r>
            <w:r>
              <w:rPr>
                <w:b/>
                <w:sz w:val="24"/>
              </w:rPr>
              <w:tab/>
              <w:t>Processos</w:t>
            </w:r>
            <w:r>
              <w:rPr>
                <w:b/>
                <w:spacing w:val="-8"/>
                <w:sz w:val="24"/>
              </w:rPr>
              <w:t> </w:t>
            </w:r>
            <w:r>
              <w:rPr>
                <w:b/>
                <w:sz w:val="24"/>
              </w:rPr>
              <w:t>judiciais</w:t>
            </w:r>
            <w:r>
              <w:rPr>
                <w:b/>
                <w:spacing w:val="-6"/>
                <w:sz w:val="24"/>
              </w:rPr>
              <w:t> </w:t>
            </w:r>
            <w:r>
              <w:rPr>
                <w:b/>
                <w:sz w:val="24"/>
              </w:rPr>
              <w:t>sob</w:t>
            </w:r>
            <w:r>
              <w:rPr>
                <w:b/>
                <w:spacing w:val="-6"/>
                <w:sz w:val="24"/>
              </w:rPr>
              <w:t> </w:t>
            </w:r>
            <w:r>
              <w:rPr>
                <w:b/>
                <w:sz w:val="24"/>
              </w:rPr>
              <w:t>responsabilidade</w:t>
            </w:r>
            <w:r>
              <w:rPr>
                <w:b/>
                <w:spacing w:val="-4"/>
                <w:sz w:val="24"/>
              </w:rPr>
              <w:t> </w:t>
            </w:r>
            <w:r>
              <w:rPr>
                <w:b/>
                <w:sz w:val="24"/>
              </w:rPr>
              <w:t>de</w:t>
            </w:r>
            <w:r>
              <w:rPr>
                <w:b/>
                <w:spacing w:val="-10"/>
                <w:sz w:val="24"/>
              </w:rPr>
              <w:t> </w:t>
            </w:r>
            <w:r>
              <w:rPr>
                <w:b/>
                <w:spacing w:val="-2"/>
                <w:sz w:val="24"/>
              </w:rPr>
              <w:t>terceiros</w:t>
            </w:r>
          </w:p>
        </w:tc>
        <w:tc>
          <w:tcPr>
            <w:tcW w:w="1783" w:type="dxa"/>
            <w:tcBorders>
              <w:top w:val="single" w:sz="12" w:space="0" w:color="000000"/>
            </w:tcBorders>
          </w:tcPr>
          <w:p>
            <w:pPr>
              <w:pStyle w:val="TableParagraph"/>
              <w:rPr>
                <w:rFonts w:ascii="Times New Roman"/>
                <w:sz w:val="20"/>
              </w:rPr>
            </w:pPr>
          </w:p>
        </w:tc>
        <w:tc>
          <w:tcPr>
            <w:tcW w:w="955" w:type="dxa"/>
            <w:tcBorders>
              <w:top w:val="single" w:sz="12" w:space="0" w:color="000000"/>
            </w:tcBorders>
          </w:tcPr>
          <w:p>
            <w:pPr>
              <w:pStyle w:val="TableParagraph"/>
              <w:rPr>
                <w:rFonts w:ascii="Times New Roman"/>
                <w:sz w:val="20"/>
              </w:rPr>
            </w:pPr>
          </w:p>
        </w:tc>
      </w:tr>
    </w:tbl>
    <w:p>
      <w:pPr>
        <w:pStyle w:val="BodyText"/>
        <w:spacing w:before="257"/>
        <w:ind w:left="151" w:right="360"/>
        <w:jc w:val="both"/>
      </w:pPr>
      <w:r>
        <w:rPr/>
        <w:t>O</w:t>
      </w:r>
      <w:r>
        <w:rPr>
          <w:spacing w:val="-1"/>
        </w:rPr>
        <w:t> </w:t>
      </w:r>
      <w:r>
        <w:rPr/>
        <w:t>contrato de</w:t>
      </w:r>
      <w:r>
        <w:rPr>
          <w:spacing w:val="-1"/>
        </w:rPr>
        <w:t> </w:t>
      </w:r>
      <w:r>
        <w:rPr/>
        <w:t>compra e</w:t>
      </w:r>
      <w:r>
        <w:rPr>
          <w:spacing w:val="-1"/>
        </w:rPr>
        <w:t> </w:t>
      </w:r>
      <w:r>
        <w:rPr/>
        <w:t>venda celebrado,</w:t>
      </w:r>
      <w:r>
        <w:rPr>
          <w:spacing w:val="-2"/>
        </w:rPr>
        <w:t> </w:t>
      </w:r>
      <w:r>
        <w:rPr/>
        <w:t>em</w:t>
      </w:r>
      <w:r>
        <w:rPr>
          <w:spacing w:val="-1"/>
        </w:rPr>
        <w:t> </w:t>
      </w:r>
      <w:r>
        <w:rPr/>
        <w:t>2013,</w:t>
      </w:r>
      <w:r>
        <w:rPr>
          <w:spacing w:val="-1"/>
        </w:rPr>
        <w:t> </w:t>
      </w:r>
      <w:r>
        <w:rPr/>
        <w:t>por</w:t>
      </w:r>
      <w:r>
        <w:rPr>
          <w:spacing w:val="-2"/>
        </w:rPr>
        <w:t> </w:t>
      </w:r>
      <w:r>
        <w:rPr/>
        <w:t>ocasião</w:t>
      </w:r>
      <w:r>
        <w:rPr>
          <w:spacing w:val="-1"/>
        </w:rPr>
        <w:t> </w:t>
      </w:r>
      <w:r>
        <w:rPr/>
        <w:t>da</w:t>
      </w:r>
      <w:r>
        <w:rPr>
          <w:spacing w:val="-1"/>
        </w:rPr>
        <w:t> </w:t>
      </w:r>
      <w:r>
        <w:rPr/>
        <w:t>compra</w:t>
      </w:r>
      <w:r>
        <w:rPr>
          <w:spacing w:val="-2"/>
        </w:rPr>
        <w:t> </w:t>
      </w:r>
      <w:r>
        <w:rPr/>
        <w:t>da totalidade</w:t>
      </w:r>
      <w:r>
        <w:rPr>
          <w:spacing w:val="-2"/>
        </w:rPr>
        <w:t> </w:t>
      </w:r>
      <w:r>
        <w:rPr/>
        <w:t>das</w:t>
      </w:r>
      <w:r>
        <w:rPr>
          <w:spacing w:val="-1"/>
        </w:rPr>
        <w:t> </w:t>
      </w:r>
      <w:r>
        <w:rPr/>
        <w:t>ações da</w:t>
      </w:r>
      <w:r>
        <w:rPr>
          <w:spacing w:val="-1"/>
        </w:rPr>
        <w:t> </w:t>
      </w:r>
      <w:r>
        <w:rPr/>
        <w:t>Companhia que pertenciam a Vale Internacional pela Petrobras, definiu que as ações judiciais de competência anterior à data da aquisição seriam de responsabilidade da parte vendedora, cabendo a essa o direito de defesa e a obrigação de desembolso em caso de perdas judiciais.</w:t>
      </w:r>
    </w:p>
    <w:p>
      <w:pPr>
        <w:pStyle w:val="Heading3"/>
        <w:numPr>
          <w:ilvl w:val="0"/>
          <w:numId w:val="15"/>
        </w:numPr>
        <w:tabs>
          <w:tab w:pos="718" w:val="left" w:leader="none"/>
        </w:tabs>
        <w:spacing w:line="240" w:lineRule="auto" w:before="239" w:after="0"/>
        <w:ind w:left="718" w:right="0" w:hanging="568"/>
        <w:jc w:val="left"/>
      </w:pPr>
      <w:bookmarkStart w:name="_TOC_250001" w:id="24"/>
      <w:r>
        <w:rPr/>
        <w:t>Gerenciamento</w:t>
      </w:r>
      <w:r>
        <w:rPr>
          <w:spacing w:val="-8"/>
        </w:rPr>
        <w:t> </w:t>
      </w:r>
      <w:r>
        <w:rPr/>
        <w:t>de</w:t>
      </w:r>
      <w:r>
        <w:rPr>
          <w:spacing w:val="-10"/>
        </w:rPr>
        <w:t> </w:t>
      </w:r>
      <w:bookmarkEnd w:id="24"/>
      <w:r>
        <w:rPr>
          <w:spacing w:val="-2"/>
        </w:rPr>
        <w:t>riscos</w:t>
      </w:r>
    </w:p>
    <w:p>
      <w:pPr>
        <w:pStyle w:val="BodyText"/>
        <w:spacing w:before="239"/>
        <w:ind w:left="151" w:right="358"/>
        <w:jc w:val="both"/>
      </w:pPr>
      <w:r>
        <w:rPr/>
        <w:t>A Companhia mantém operações com instrumentos financeiros. A administração desses instrumentos é efetuada por</w:t>
      </w:r>
      <w:r>
        <w:rPr>
          <w:spacing w:val="-8"/>
        </w:rPr>
        <w:t> </w:t>
      </w:r>
      <w:r>
        <w:rPr/>
        <w:t>meio</w:t>
      </w:r>
      <w:r>
        <w:rPr>
          <w:spacing w:val="-2"/>
        </w:rPr>
        <w:t> </w:t>
      </w:r>
      <w:r>
        <w:rPr/>
        <w:t>de</w:t>
      </w:r>
      <w:r>
        <w:rPr>
          <w:spacing w:val="-3"/>
        </w:rPr>
        <w:t> </w:t>
      </w:r>
      <w:r>
        <w:rPr/>
        <w:t>estratégias</w:t>
      </w:r>
      <w:r>
        <w:rPr>
          <w:spacing w:val="-6"/>
        </w:rPr>
        <w:t> </w:t>
      </w:r>
      <w:r>
        <w:rPr/>
        <w:t>operacionais</w:t>
      </w:r>
      <w:r>
        <w:rPr>
          <w:spacing w:val="-6"/>
        </w:rPr>
        <w:t> </w:t>
      </w:r>
      <w:r>
        <w:rPr/>
        <w:t>e</w:t>
      </w:r>
      <w:r>
        <w:rPr>
          <w:spacing w:val="-2"/>
        </w:rPr>
        <w:t> </w:t>
      </w:r>
      <w:r>
        <w:rPr/>
        <w:t>controles</w:t>
      </w:r>
      <w:r>
        <w:rPr>
          <w:spacing w:val="-5"/>
        </w:rPr>
        <w:t> </w:t>
      </w:r>
      <w:r>
        <w:rPr/>
        <w:t>internos</w:t>
      </w:r>
      <w:r>
        <w:rPr>
          <w:spacing w:val="-4"/>
        </w:rPr>
        <w:t> </w:t>
      </w:r>
      <w:r>
        <w:rPr/>
        <w:t>visando</w:t>
      </w:r>
      <w:r>
        <w:rPr>
          <w:spacing w:val="-2"/>
        </w:rPr>
        <w:t> </w:t>
      </w:r>
      <w:r>
        <w:rPr/>
        <w:t>assegurar</w:t>
      </w:r>
      <w:r>
        <w:rPr>
          <w:spacing w:val="-5"/>
        </w:rPr>
        <w:t> </w:t>
      </w:r>
      <w:r>
        <w:rPr/>
        <w:t>sua</w:t>
      </w:r>
      <w:r>
        <w:rPr>
          <w:spacing w:val="-5"/>
        </w:rPr>
        <w:t> </w:t>
      </w:r>
      <w:r>
        <w:rPr/>
        <w:t>liquidez</w:t>
      </w:r>
      <w:r>
        <w:rPr>
          <w:spacing w:val="-2"/>
        </w:rPr>
        <w:t> </w:t>
      </w:r>
      <w:r>
        <w:rPr/>
        <w:t>e</w:t>
      </w:r>
      <w:r>
        <w:rPr>
          <w:spacing w:val="-2"/>
        </w:rPr>
        <w:t> </w:t>
      </w:r>
      <w:r>
        <w:rPr/>
        <w:t>rentabilidade.</w:t>
      </w:r>
      <w:r>
        <w:rPr>
          <w:spacing w:val="-4"/>
        </w:rPr>
        <w:t> </w:t>
      </w:r>
      <w:r>
        <w:rPr/>
        <w:t>A</w:t>
      </w:r>
      <w:r>
        <w:rPr>
          <w:spacing w:val="-3"/>
        </w:rPr>
        <w:t> </w:t>
      </w:r>
      <w:r>
        <w:rPr/>
        <w:t>política de controle consiste em acompanhamento permanente das condições contratadas diante das condições vigentes no mercado.</w:t>
      </w:r>
    </w:p>
    <w:p>
      <w:pPr>
        <w:pStyle w:val="BodyText"/>
        <w:spacing w:before="241"/>
        <w:ind w:left="151" w:right="357"/>
        <w:jc w:val="both"/>
      </w:pPr>
      <w:r>
        <w:rPr/>
        <w:t>Em</w:t>
      </w:r>
      <w:r>
        <w:rPr>
          <w:spacing w:val="-1"/>
        </w:rPr>
        <w:t> </w:t>
      </w:r>
      <w:r>
        <w:rPr/>
        <w:t>31 de</w:t>
      </w:r>
      <w:r>
        <w:rPr>
          <w:spacing w:val="-1"/>
        </w:rPr>
        <w:t> </w:t>
      </w:r>
      <w:r>
        <w:rPr/>
        <w:t>dezembro de</w:t>
      </w:r>
      <w:r>
        <w:rPr>
          <w:spacing w:val="-1"/>
        </w:rPr>
        <w:t> </w:t>
      </w:r>
      <w:r>
        <w:rPr/>
        <w:t>2022,</w:t>
      </w:r>
      <w:r>
        <w:rPr>
          <w:spacing w:val="-2"/>
        </w:rPr>
        <w:t> </w:t>
      </w:r>
      <w:r>
        <w:rPr/>
        <w:t>a</w:t>
      </w:r>
      <w:r>
        <w:rPr>
          <w:spacing w:val="-1"/>
        </w:rPr>
        <w:t> </w:t>
      </w:r>
      <w:r>
        <w:rPr/>
        <w:t>Companhia não</w:t>
      </w:r>
      <w:r>
        <w:rPr>
          <w:spacing w:val="-1"/>
        </w:rPr>
        <w:t> </w:t>
      </w:r>
      <w:r>
        <w:rPr/>
        <w:t>possuía</w:t>
      </w:r>
      <w:r>
        <w:rPr>
          <w:spacing w:val="-1"/>
        </w:rPr>
        <w:t> </w:t>
      </w:r>
      <w:r>
        <w:rPr/>
        <w:t>nenhum</w:t>
      </w:r>
      <w:r>
        <w:rPr>
          <w:spacing w:val="-1"/>
        </w:rPr>
        <w:t> </w:t>
      </w:r>
      <w:r>
        <w:rPr/>
        <w:t>instrumento</w:t>
      </w:r>
      <w:r>
        <w:rPr>
          <w:spacing w:val="-1"/>
        </w:rPr>
        <w:t> </w:t>
      </w:r>
      <w:r>
        <w:rPr/>
        <w:t>financeiro derivativo</w:t>
      </w:r>
      <w:r>
        <w:rPr>
          <w:spacing w:val="-1"/>
        </w:rPr>
        <w:t> </w:t>
      </w:r>
      <w:r>
        <w:rPr/>
        <w:t>para mitigar</w:t>
      </w:r>
      <w:r>
        <w:rPr>
          <w:spacing w:val="-1"/>
        </w:rPr>
        <w:t> </w:t>
      </w:r>
      <w:r>
        <w:rPr/>
        <w:t>os riscos associados aos seus instrumentos financeiros e durante os exercícios também não efetuou aplicações de caráter especulativo ou quaisquer outros ativos de risco. Os resultados estão condizentes com as políticas e estratégias definidas pela Administração da Companhia.</w:t>
      </w:r>
    </w:p>
    <w:p>
      <w:pPr>
        <w:pStyle w:val="BodyText"/>
        <w:spacing w:before="242"/>
        <w:ind w:left="151" w:right="355"/>
        <w:jc w:val="both"/>
      </w:pPr>
      <w:r>
        <w:rPr/>
        <w:t>Os</w:t>
      </w:r>
      <w:r>
        <w:rPr>
          <w:spacing w:val="-2"/>
        </w:rPr>
        <w:t> </w:t>
      </w:r>
      <w:r>
        <w:rPr/>
        <w:t>controles</w:t>
      </w:r>
      <w:r>
        <w:rPr>
          <w:spacing w:val="-1"/>
        </w:rPr>
        <w:t> </w:t>
      </w:r>
      <w:r>
        <w:rPr/>
        <w:t>para</w:t>
      </w:r>
      <w:r>
        <w:rPr>
          <w:spacing w:val="-2"/>
        </w:rPr>
        <w:t> </w:t>
      </w:r>
      <w:r>
        <w:rPr/>
        <w:t>identificação</w:t>
      </w:r>
      <w:r>
        <w:rPr>
          <w:spacing w:val="-1"/>
        </w:rPr>
        <w:t> </w:t>
      </w:r>
      <w:r>
        <w:rPr/>
        <w:t>de</w:t>
      </w:r>
      <w:r>
        <w:rPr>
          <w:spacing w:val="-3"/>
        </w:rPr>
        <w:t> </w:t>
      </w:r>
      <w:r>
        <w:rPr/>
        <w:t>eventuais</w:t>
      </w:r>
      <w:r>
        <w:rPr>
          <w:spacing w:val="-2"/>
        </w:rPr>
        <w:t> </w:t>
      </w:r>
      <w:r>
        <w:rPr/>
        <w:t>derivativos</w:t>
      </w:r>
      <w:r>
        <w:rPr>
          <w:spacing w:val="-2"/>
        </w:rPr>
        <w:t> </w:t>
      </w:r>
      <w:r>
        <w:rPr/>
        <w:t>embutidos</w:t>
      </w:r>
      <w:r>
        <w:rPr>
          <w:spacing w:val="-2"/>
        </w:rPr>
        <w:t> </w:t>
      </w:r>
      <w:r>
        <w:rPr/>
        <w:t>nas</w:t>
      </w:r>
      <w:r>
        <w:rPr>
          <w:spacing w:val="-2"/>
        </w:rPr>
        <w:t> </w:t>
      </w:r>
      <w:r>
        <w:rPr/>
        <w:t>operações</w:t>
      </w:r>
      <w:r>
        <w:rPr>
          <w:spacing w:val="-2"/>
        </w:rPr>
        <w:t> </w:t>
      </w:r>
      <w:r>
        <w:rPr/>
        <w:t>da</w:t>
      </w:r>
      <w:r>
        <w:rPr>
          <w:spacing w:val="-2"/>
        </w:rPr>
        <w:t> </w:t>
      </w:r>
      <w:r>
        <w:rPr/>
        <w:t>Companhia</w:t>
      </w:r>
      <w:r>
        <w:rPr>
          <w:spacing w:val="-2"/>
        </w:rPr>
        <w:t> </w:t>
      </w:r>
      <w:r>
        <w:rPr/>
        <w:t>são</w:t>
      </w:r>
      <w:r>
        <w:rPr>
          <w:spacing w:val="-2"/>
        </w:rPr>
        <w:t> </w:t>
      </w:r>
      <w:r>
        <w:rPr/>
        <w:t>corporativos e aplicados por sua controladora Petrobras. Tais controles estão relacionados, principalmente, à identificação de possíveis derivativos embutidos e orientação relacionada ao tratamento contábil a ser dado pela Petrobras e suas controladas. Durante os exercícios findos em 31 de dezembro, não foram identificados derivativos embutidos nas operações da Companhia.</w:t>
      </w:r>
    </w:p>
    <w:p>
      <w:pPr>
        <w:spacing w:after="0"/>
        <w:jc w:val="both"/>
        <w:sectPr>
          <w:pgSz w:w="11910" w:h="16840"/>
          <w:pgMar w:header="637" w:footer="630" w:top="1780" w:bottom="820" w:left="700" w:right="480"/>
        </w:sectPr>
      </w:pPr>
    </w:p>
    <w:p>
      <w:pPr>
        <w:pStyle w:val="BodyText"/>
        <w:spacing w:before="17"/>
      </w:pPr>
    </w:p>
    <w:p>
      <w:pPr>
        <w:pStyle w:val="BodyText"/>
        <w:ind w:left="152" w:right="358" w:hanging="1"/>
        <w:jc w:val="both"/>
      </w:pPr>
      <w:r>
        <w:rPr/>
        <w:t>A Companhia reconhece o contas a receber, no momento inicial, pelo valor da contraprestação a ser recebida e, subsequentemente,</w:t>
      </w:r>
      <w:r>
        <w:rPr>
          <w:spacing w:val="-13"/>
        </w:rPr>
        <w:t> </w:t>
      </w:r>
      <w:r>
        <w:rPr/>
        <w:t>mensura</w:t>
      </w:r>
      <w:r>
        <w:rPr>
          <w:spacing w:val="-10"/>
        </w:rPr>
        <w:t> </w:t>
      </w:r>
      <w:r>
        <w:rPr/>
        <w:t>pelo</w:t>
      </w:r>
      <w:r>
        <w:rPr>
          <w:spacing w:val="-10"/>
        </w:rPr>
        <w:t> </w:t>
      </w:r>
      <w:r>
        <w:rPr/>
        <w:t>custo</w:t>
      </w:r>
      <w:r>
        <w:rPr>
          <w:spacing w:val="-9"/>
        </w:rPr>
        <w:t> </w:t>
      </w:r>
      <w:r>
        <w:rPr/>
        <w:t>amortizado</w:t>
      </w:r>
      <w:r>
        <w:rPr>
          <w:spacing w:val="-8"/>
        </w:rPr>
        <w:t> </w:t>
      </w:r>
      <w:r>
        <w:rPr/>
        <w:t>com</w:t>
      </w:r>
      <w:r>
        <w:rPr>
          <w:spacing w:val="-9"/>
        </w:rPr>
        <w:t> </w:t>
      </w:r>
      <w:r>
        <w:rPr/>
        <w:t>o</w:t>
      </w:r>
      <w:r>
        <w:rPr>
          <w:spacing w:val="-10"/>
        </w:rPr>
        <w:t> </w:t>
      </w:r>
      <w:r>
        <w:rPr/>
        <w:t>uso</w:t>
      </w:r>
      <w:r>
        <w:rPr>
          <w:spacing w:val="-9"/>
        </w:rPr>
        <w:t> </w:t>
      </w:r>
      <w:r>
        <w:rPr/>
        <w:t>do</w:t>
      </w:r>
      <w:r>
        <w:rPr>
          <w:spacing w:val="-10"/>
        </w:rPr>
        <w:t> </w:t>
      </w:r>
      <w:r>
        <w:rPr/>
        <w:t>método</w:t>
      </w:r>
      <w:r>
        <w:rPr>
          <w:spacing w:val="-9"/>
        </w:rPr>
        <w:t> </w:t>
      </w:r>
      <w:r>
        <w:rPr/>
        <w:t>da</w:t>
      </w:r>
      <w:r>
        <w:rPr>
          <w:spacing w:val="-10"/>
        </w:rPr>
        <w:t> </w:t>
      </w:r>
      <w:r>
        <w:rPr/>
        <w:t>taxa</w:t>
      </w:r>
      <w:r>
        <w:rPr>
          <w:spacing w:val="-13"/>
        </w:rPr>
        <w:t> </w:t>
      </w:r>
      <w:r>
        <w:rPr/>
        <w:t>de</w:t>
      </w:r>
      <w:r>
        <w:rPr>
          <w:spacing w:val="-8"/>
        </w:rPr>
        <w:t> </w:t>
      </w:r>
      <w:r>
        <w:rPr/>
        <w:t>juros</w:t>
      </w:r>
      <w:r>
        <w:rPr>
          <w:spacing w:val="-11"/>
        </w:rPr>
        <w:t> </w:t>
      </w:r>
      <w:r>
        <w:rPr/>
        <w:t>efetiva,</w:t>
      </w:r>
      <w:r>
        <w:rPr>
          <w:spacing w:val="-12"/>
        </w:rPr>
        <w:t> </w:t>
      </w:r>
      <w:r>
        <w:rPr/>
        <w:t>sendo</w:t>
      </w:r>
      <w:r>
        <w:rPr>
          <w:spacing w:val="-8"/>
        </w:rPr>
        <w:t> </w:t>
      </w:r>
      <w:r>
        <w:rPr/>
        <w:t>deduzido das perdas com crédito de liquidação duvidosa.</w:t>
      </w:r>
    </w:p>
    <w:p>
      <w:pPr>
        <w:pStyle w:val="BodyText"/>
        <w:spacing w:before="240"/>
        <w:ind w:left="151" w:right="359"/>
        <w:jc w:val="both"/>
      </w:pPr>
      <w:r>
        <w:rPr/>
        <w:t>Todas as operações com instrumentos financeiros estão reconhecidas nas demonstrações financeiras da Companhia e estão demonstradas abaixo em 31 de dezembro:</w:t>
      </w:r>
    </w:p>
    <w:p>
      <w:pPr>
        <w:pStyle w:val="BodyText"/>
        <w:spacing w:before="1" w:after="1"/>
        <w:rPr>
          <w:sz w:val="20"/>
        </w:rPr>
      </w:pPr>
    </w:p>
    <w:tbl>
      <w:tblPr>
        <w:tblW w:w="0" w:type="auto"/>
        <w:jc w:val="left"/>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464"/>
        <w:gridCol w:w="1746"/>
        <w:gridCol w:w="1023"/>
      </w:tblGrid>
      <w:tr>
        <w:trPr>
          <w:trHeight w:val="228" w:hRule="atLeast"/>
        </w:trPr>
        <w:tc>
          <w:tcPr>
            <w:tcW w:w="7464" w:type="dxa"/>
          </w:tcPr>
          <w:p>
            <w:pPr>
              <w:pStyle w:val="TableParagraph"/>
              <w:rPr>
                <w:rFonts w:ascii="Times New Roman"/>
                <w:sz w:val="16"/>
              </w:rPr>
            </w:pPr>
          </w:p>
        </w:tc>
        <w:tc>
          <w:tcPr>
            <w:tcW w:w="1746" w:type="dxa"/>
            <w:tcBorders>
              <w:top w:val="single" w:sz="4" w:space="0" w:color="000000"/>
              <w:bottom w:val="single" w:sz="24" w:space="0" w:color="000000"/>
            </w:tcBorders>
          </w:tcPr>
          <w:p>
            <w:pPr>
              <w:pStyle w:val="TableParagraph"/>
              <w:spacing w:line="165" w:lineRule="exact" w:before="42"/>
              <w:ind w:right="425"/>
              <w:jc w:val="right"/>
              <w:rPr>
                <w:b/>
                <w:sz w:val="18"/>
              </w:rPr>
            </w:pPr>
            <w:r>
              <w:rPr>
                <w:b/>
                <w:spacing w:val="-4"/>
                <w:sz w:val="18"/>
              </w:rPr>
              <w:t>2022</w:t>
            </w:r>
          </w:p>
        </w:tc>
        <w:tc>
          <w:tcPr>
            <w:tcW w:w="1023" w:type="dxa"/>
            <w:tcBorders>
              <w:top w:val="single" w:sz="4" w:space="0" w:color="000000"/>
              <w:bottom w:val="single" w:sz="24" w:space="0" w:color="000000"/>
            </w:tcBorders>
          </w:tcPr>
          <w:p>
            <w:pPr>
              <w:pStyle w:val="TableParagraph"/>
              <w:spacing w:line="165" w:lineRule="exact" w:before="42"/>
              <w:ind w:right="25"/>
              <w:jc w:val="right"/>
              <w:rPr>
                <w:b/>
                <w:sz w:val="18"/>
              </w:rPr>
            </w:pPr>
            <w:r>
              <w:rPr>
                <w:b/>
                <w:spacing w:val="-4"/>
                <w:sz w:val="18"/>
              </w:rPr>
              <w:t>2021</w:t>
            </w:r>
          </w:p>
        </w:tc>
      </w:tr>
      <w:tr>
        <w:trPr>
          <w:trHeight w:val="823" w:hRule="atLeast"/>
        </w:trPr>
        <w:tc>
          <w:tcPr>
            <w:tcW w:w="7464" w:type="dxa"/>
          </w:tcPr>
          <w:p>
            <w:pPr>
              <w:pStyle w:val="TableParagraph"/>
              <w:spacing w:before="22"/>
              <w:ind w:left="50"/>
              <w:rPr>
                <w:b/>
                <w:sz w:val="18"/>
              </w:rPr>
            </w:pPr>
            <w:r>
              <w:rPr>
                <w:b/>
                <w:spacing w:val="-2"/>
                <w:sz w:val="18"/>
              </w:rPr>
              <w:t>Ativo</w:t>
            </w:r>
          </w:p>
          <w:p>
            <w:pPr>
              <w:pStyle w:val="TableParagraph"/>
              <w:spacing w:before="50"/>
              <w:ind w:left="50"/>
              <w:rPr>
                <w:sz w:val="18"/>
              </w:rPr>
            </w:pPr>
            <w:r>
              <w:rPr>
                <w:spacing w:val="-2"/>
                <w:sz w:val="18"/>
              </w:rPr>
              <w:t>Circulante</w:t>
            </w:r>
          </w:p>
          <w:p>
            <w:pPr>
              <w:pStyle w:val="TableParagraph"/>
              <w:spacing w:before="51"/>
              <w:ind w:left="257"/>
              <w:rPr>
                <w:sz w:val="18"/>
              </w:rPr>
            </w:pPr>
            <w:r>
              <w:rPr>
                <w:sz w:val="18"/>
              </w:rPr>
              <w:t>Caixa</w:t>
            </w:r>
            <w:r>
              <w:rPr>
                <w:spacing w:val="-2"/>
                <w:sz w:val="18"/>
              </w:rPr>
              <w:t> </w:t>
            </w:r>
            <w:r>
              <w:rPr>
                <w:sz w:val="18"/>
              </w:rPr>
              <w:t>e</w:t>
            </w:r>
            <w:r>
              <w:rPr>
                <w:spacing w:val="-1"/>
                <w:sz w:val="18"/>
              </w:rPr>
              <w:t> </w:t>
            </w:r>
            <w:r>
              <w:rPr>
                <w:sz w:val="18"/>
              </w:rPr>
              <w:t>equivalentes</w:t>
            </w:r>
            <w:r>
              <w:rPr>
                <w:spacing w:val="-1"/>
                <w:sz w:val="18"/>
              </w:rPr>
              <w:t> </w:t>
            </w:r>
            <w:r>
              <w:rPr>
                <w:sz w:val="18"/>
              </w:rPr>
              <w:t>de</w:t>
            </w:r>
            <w:r>
              <w:rPr>
                <w:spacing w:val="-1"/>
                <w:sz w:val="18"/>
              </w:rPr>
              <w:t> </w:t>
            </w:r>
            <w:r>
              <w:rPr>
                <w:spacing w:val="-2"/>
                <w:sz w:val="18"/>
              </w:rPr>
              <w:t>caixa</w:t>
            </w:r>
          </w:p>
        </w:tc>
        <w:tc>
          <w:tcPr>
            <w:tcW w:w="1746" w:type="dxa"/>
            <w:tcBorders>
              <w:top w:val="single" w:sz="24" w:space="0" w:color="000000"/>
            </w:tcBorders>
          </w:tcPr>
          <w:p>
            <w:pPr>
              <w:pStyle w:val="TableParagraph"/>
              <w:rPr>
                <w:sz w:val="18"/>
              </w:rPr>
            </w:pPr>
          </w:p>
          <w:p>
            <w:pPr>
              <w:pStyle w:val="TableParagraph"/>
              <w:spacing w:before="124"/>
              <w:rPr>
                <w:sz w:val="18"/>
              </w:rPr>
            </w:pPr>
          </w:p>
          <w:p>
            <w:pPr>
              <w:pStyle w:val="TableParagraph"/>
              <w:ind w:right="425"/>
              <w:jc w:val="right"/>
              <w:rPr>
                <w:sz w:val="18"/>
              </w:rPr>
            </w:pPr>
            <w:r>
              <w:rPr>
                <w:spacing w:val="-5"/>
                <w:sz w:val="18"/>
              </w:rPr>
              <w:t>149</w:t>
            </w:r>
          </w:p>
        </w:tc>
        <w:tc>
          <w:tcPr>
            <w:tcW w:w="1023" w:type="dxa"/>
            <w:tcBorders>
              <w:top w:val="single" w:sz="24" w:space="0" w:color="000000"/>
            </w:tcBorders>
          </w:tcPr>
          <w:p>
            <w:pPr>
              <w:pStyle w:val="TableParagraph"/>
              <w:rPr>
                <w:sz w:val="18"/>
              </w:rPr>
            </w:pPr>
          </w:p>
          <w:p>
            <w:pPr>
              <w:pStyle w:val="TableParagraph"/>
              <w:spacing w:before="124"/>
              <w:rPr>
                <w:sz w:val="18"/>
              </w:rPr>
            </w:pPr>
          </w:p>
          <w:p>
            <w:pPr>
              <w:pStyle w:val="TableParagraph"/>
              <w:ind w:right="97"/>
              <w:jc w:val="right"/>
              <w:rPr>
                <w:sz w:val="18"/>
              </w:rPr>
            </w:pPr>
            <w:r>
              <w:rPr>
                <w:spacing w:val="-5"/>
                <w:sz w:val="18"/>
              </w:rPr>
              <w:t>74</w:t>
            </w:r>
          </w:p>
        </w:tc>
      </w:tr>
      <w:tr>
        <w:trPr>
          <w:trHeight w:val="270" w:hRule="atLeast"/>
        </w:trPr>
        <w:tc>
          <w:tcPr>
            <w:tcW w:w="7464" w:type="dxa"/>
          </w:tcPr>
          <w:p>
            <w:pPr>
              <w:pStyle w:val="TableParagraph"/>
              <w:spacing w:before="8"/>
              <w:ind w:left="257"/>
              <w:rPr>
                <w:sz w:val="18"/>
              </w:rPr>
            </w:pPr>
            <w:r>
              <w:rPr>
                <w:sz w:val="18"/>
              </w:rPr>
              <w:t>Contas</w:t>
            </w:r>
            <w:r>
              <w:rPr>
                <w:spacing w:val="-3"/>
                <w:sz w:val="18"/>
              </w:rPr>
              <w:t> </w:t>
            </w:r>
            <w:r>
              <w:rPr>
                <w:sz w:val="18"/>
              </w:rPr>
              <w:t>a</w:t>
            </w:r>
            <w:r>
              <w:rPr>
                <w:spacing w:val="-2"/>
                <w:sz w:val="18"/>
              </w:rPr>
              <w:t> </w:t>
            </w:r>
            <w:r>
              <w:rPr>
                <w:sz w:val="18"/>
              </w:rPr>
              <w:t>receber,</w:t>
            </w:r>
            <w:r>
              <w:rPr>
                <w:spacing w:val="-3"/>
                <w:sz w:val="18"/>
              </w:rPr>
              <w:t> </w:t>
            </w:r>
            <w:r>
              <w:rPr>
                <w:spacing w:val="-2"/>
                <w:sz w:val="18"/>
              </w:rPr>
              <w:t>líquidas</w:t>
            </w:r>
          </w:p>
        </w:tc>
        <w:tc>
          <w:tcPr>
            <w:tcW w:w="1746" w:type="dxa"/>
          </w:tcPr>
          <w:p>
            <w:pPr>
              <w:pStyle w:val="TableParagraph"/>
              <w:spacing w:before="8"/>
              <w:ind w:right="422"/>
              <w:jc w:val="right"/>
              <w:rPr>
                <w:sz w:val="18"/>
              </w:rPr>
            </w:pPr>
            <w:r>
              <w:rPr>
                <w:spacing w:val="-10"/>
                <w:sz w:val="18"/>
              </w:rPr>
              <w:t>‐</w:t>
            </w:r>
          </w:p>
        </w:tc>
        <w:tc>
          <w:tcPr>
            <w:tcW w:w="1023" w:type="dxa"/>
          </w:tcPr>
          <w:p>
            <w:pPr>
              <w:pStyle w:val="TableParagraph"/>
              <w:spacing w:before="8"/>
              <w:ind w:right="97"/>
              <w:jc w:val="right"/>
              <w:rPr>
                <w:sz w:val="18"/>
              </w:rPr>
            </w:pPr>
            <w:r>
              <w:rPr>
                <w:spacing w:val="-5"/>
                <w:sz w:val="18"/>
              </w:rPr>
              <w:t>306</w:t>
            </w:r>
          </w:p>
        </w:tc>
      </w:tr>
      <w:tr>
        <w:trPr>
          <w:trHeight w:val="202" w:hRule="atLeast"/>
        </w:trPr>
        <w:tc>
          <w:tcPr>
            <w:tcW w:w="7464" w:type="dxa"/>
          </w:tcPr>
          <w:p>
            <w:pPr>
              <w:pStyle w:val="TableParagraph"/>
              <w:spacing w:line="174" w:lineRule="exact" w:before="8"/>
              <w:ind w:left="257"/>
              <w:rPr>
                <w:sz w:val="18"/>
              </w:rPr>
            </w:pPr>
            <w:r>
              <w:rPr>
                <w:sz w:val="18"/>
              </w:rPr>
              <w:t>Contas</w:t>
            </w:r>
            <w:r>
              <w:rPr>
                <w:spacing w:val="-2"/>
                <w:sz w:val="18"/>
              </w:rPr>
              <w:t> </w:t>
            </w:r>
            <w:r>
              <w:rPr>
                <w:sz w:val="18"/>
              </w:rPr>
              <w:t>a</w:t>
            </w:r>
            <w:r>
              <w:rPr>
                <w:spacing w:val="-2"/>
                <w:sz w:val="18"/>
              </w:rPr>
              <w:t> </w:t>
            </w:r>
            <w:r>
              <w:rPr>
                <w:sz w:val="18"/>
              </w:rPr>
              <w:t>receber</w:t>
            </w:r>
            <w:r>
              <w:rPr>
                <w:spacing w:val="-2"/>
                <w:sz w:val="18"/>
              </w:rPr>
              <w:t> </w:t>
            </w:r>
            <w:r>
              <w:rPr>
                <w:sz w:val="18"/>
              </w:rPr>
              <w:t>‐</w:t>
            </w:r>
            <w:r>
              <w:rPr>
                <w:spacing w:val="-1"/>
                <w:sz w:val="18"/>
              </w:rPr>
              <w:t> </w:t>
            </w:r>
            <w:r>
              <w:rPr>
                <w:spacing w:val="-4"/>
                <w:sz w:val="18"/>
              </w:rPr>
              <w:t>FIDC</w:t>
            </w:r>
          </w:p>
        </w:tc>
        <w:tc>
          <w:tcPr>
            <w:tcW w:w="1746" w:type="dxa"/>
            <w:tcBorders>
              <w:bottom w:val="single" w:sz="18" w:space="0" w:color="000000"/>
            </w:tcBorders>
          </w:tcPr>
          <w:p>
            <w:pPr>
              <w:pStyle w:val="TableParagraph"/>
              <w:spacing w:line="157" w:lineRule="exact" w:before="8"/>
              <w:ind w:right="426"/>
              <w:jc w:val="right"/>
              <w:rPr>
                <w:sz w:val="18"/>
              </w:rPr>
            </w:pPr>
            <w:r>
              <w:rPr>
                <w:spacing w:val="-2"/>
                <w:sz w:val="18"/>
              </w:rPr>
              <w:t>92.918</w:t>
            </w:r>
          </w:p>
        </w:tc>
        <w:tc>
          <w:tcPr>
            <w:tcW w:w="1023" w:type="dxa"/>
            <w:tcBorders>
              <w:bottom w:val="single" w:sz="18" w:space="0" w:color="000000"/>
            </w:tcBorders>
          </w:tcPr>
          <w:p>
            <w:pPr>
              <w:pStyle w:val="TableParagraph"/>
              <w:spacing w:line="157" w:lineRule="exact" w:before="8"/>
              <w:ind w:right="25"/>
              <w:jc w:val="right"/>
              <w:rPr>
                <w:sz w:val="18"/>
              </w:rPr>
            </w:pPr>
            <w:r>
              <w:rPr>
                <w:spacing w:val="-2"/>
                <w:sz w:val="18"/>
              </w:rPr>
              <w:t>59.535</w:t>
            </w:r>
          </w:p>
        </w:tc>
      </w:tr>
      <w:tr>
        <w:trPr>
          <w:trHeight w:val="246" w:hRule="atLeast"/>
        </w:trPr>
        <w:tc>
          <w:tcPr>
            <w:tcW w:w="7464" w:type="dxa"/>
          </w:tcPr>
          <w:p>
            <w:pPr>
              <w:pStyle w:val="TableParagraph"/>
              <w:rPr>
                <w:rFonts w:ascii="Times New Roman"/>
                <w:sz w:val="18"/>
              </w:rPr>
            </w:pPr>
          </w:p>
        </w:tc>
        <w:tc>
          <w:tcPr>
            <w:tcW w:w="1746" w:type="dxa"/>
            <w:tcBorders>
              <w:top w:val="single" w:sz="18" w:space="0" w:color="000000"/>
              <w:bottom w:val="single" w:sz="24" w:space="0" w:color="000000"/>
            </w:tcBorders>
          </w:tcPr>
          <w:p>
            <w:pPr>
              <w:pStyle w:val="TableParagraph"/>
              <w:spacing w:line="210" w:lineRule="exact" w:before="33"/>
              <w:ind w:right="426"/>
              <w:jc w:val="right"/>
              <w:rPr>
                <w:sz w:val="18"/>
              </w:rPr>
            </w:pPr>
            <w:r>
              <w:rPr>
                <w:spacing w:val="-2"/>
                <w:sz w:val="18"/>
              </w:rPr>
              <w:t>93.067</w:t>
            </w:r>
          </w:p>
        </w:tc>
        <w:tc>
          <w:tcPr>
            <w:tcW w:w="1023" w:type="dxa"/>
            <w:tcBorders>
              <w:top w:val="single" w:sz="18" w:space="0" w:color="000000"/>
              <w:bottom w:val="single" w:sz="24" w:space="0" w:color="000000"/>
            </w:tcBorders>
          </w:tcPr>
          <w:p>
            <w:pPr>
              <w:pStyle w:val="TableParagraph"/>
              <w:spacing w:line="210" w:lineRule="exact" w:before="33"/>
              <w:ind w:right="96"/>
              <w:jc w:val="right"/>
              <w:rPr>
                <w:sz w:val="18"/>
              </w:rPr>
            </w:pPr>
            <w:r>
              <w:rPr>
                <w:spacing w:val="-2"/>
                <w:sz w:val="18"/>
              </w:rPr>
              <w:t>59.915</w:t>
            </w:r>
          </w:p>
        </w:tc>
      </w:tr>
      <w:tr>
        <w:trPr>
          <w:trHeight w:val="314" w:hRule="atLeast"/>
        </w:trPr>
        <w:tc>
          <w:tcPr>
            <w:tcW w:w="7464" w:type="dxa"/>
          </w:tcPr>
          <w:p>
            <w:pPr>
              <w:pStyle w:val="TableParagraph"/>
              <w:spacing w:before="38"/>
              <w:ind w:left="171"/>
              <w:rPr>
                <w:b/>
                <w:sz w:val="18"/>
              </w:rPr>
            </w:pPr>
            <w:r>
              <w:rPr>
                <w:b/>
                <w:sz w:val="18"/>
              </w:rPr>
              <w:t>Não </w:t>
            </w:r>
            <w:r>
              <w:rPr>
                <w:b/>
                <w:spacing w:val="-2"/>
                <w:sz w:val="18"/>
              </w:rPr>
              <w:t>circulante</w:t>
            </w:r>
          </w:p>
        </w:tc>
        <w:tc>
          <w:tcPr>
            <w:tcW w:w="1746" w:type="dxa"/>
            <w:tcBorders>
              <w:top w:val="single" w:sz="24" w:space="0" w:color="000000"/>
            </w:tcBorders>
          </w:tcPr>
          <w:p>
            <w:pPr>
              <w:pStyle w:val="TableParagraph"/>
              <w:rPr>
                <w:rFonts w:ascii="Times New Roman"/>
                <w:sz w:val="20"/>
              </w:rPr>
            </w:pPr>
          </w:p>
        </w:tc>
        <w:tc>
          <w:tcPr>
            <w:tcW w:w="1023" w:type="dxa"/>
            <w:tcBorders>
              <w:top w:val="single" w:sz="24" w:space="0" w:color="000000"/>
            </w:tcBorders>
          </w:tcPr>
          <w:p>
            <w:pPr>
              <w:pStyle w:val="TableParagraph"/>
              <w:rPr>
                <w:rFonts w:ascii="Times New Roman"/>
                <w:sz w:val="20"/>
              </w:rPr>
            </w:pPr>
          </w:p>
        </w:tc>
      </w:tr>
      <w:tr>
        <w:trPr>
          <w:trHeight w:val="217" w:hRule="atLeast"/>
        </w:trPr>
        <w:tc>
          <w:tcPr>
            <w:tcW w:w="7464" w:type="dxa"/>
          </w:tcPr>
          <w:p>
            <w:pPr>
              <w:pStyle w:val="TableParagraph"/>
              <w:spacing w:line="174" w:lineRule="exact" w:before="23"/>
              <w:ind w:left="171"/>
              <w:rPr>
                <w:sz w:val="18"/>
              </w:rPr>
            </w:pPr>
            <w:r>
              <w:rPr>
                <w:sz w:val="18"/>
              </w:rPr>
              <w:t>Depósitos</w:t>
            </w:r>
            <w:r>
              <w:rPr>
                <w:spacing w:val="-8"/>
                <w:sz w:val="18"/>
              </w:rPr>
              <w:t> </w:t>
            </w:r>
            <w:r>
              <w:rPr>
                <w:spacing w:val="-2"/>
                <w:sz w:val="18"/>
              </w:rPr>
              <w:t>judiciais</w:t>
            </w:r>
          </w:p>
        </w:tc>
        <w:tc>
          <w:tcPr>
            <w:tcW w:w="1746" w:type="dxa"/>
            <w:tcBorders>
              <w:bottom w:val="single" w:sz="18" w:space="0" w:color="000000"/>
            </w:tcBorders>
          </w:tcPr>
          <w:p>
            <w:pPr>
              <w:pStyle w:val="TableParagraph"/>
              <w:spacing w:line="156" w:lineRule="exact" w:before="23"/>
              <w:ind w:right="425"/>
              <w:jc w:val="right"/>
              <w:rPr>
                <w:sz w:val="18"/>
              </w:rPr>
            </w:pPr>
            <w:r>
              <w:rPr>
                <w:spacing w:val="-2"/>
                <w:sz w:val="18"/>
              </w:rPr>
              <w:t>3.897</w:t>
            </w:r>
          </w:p>
        </w:tc>
        <w:tc>
          <w:tcPr>
            <w:tcW w:w="1023" w:type="dxa"/>
            <w:tcBorders>
              <w:bottom w:val="single" w:sz="18" w:space="0" w:color="000000"/>
            </w:tcBorders>
          </w:tcPr>
          <w:p>
            <w:pPr>
              <w:pStyle w:val="TableParagraph"/>
              <w:spacing w:line="156" w:lineRule="exact" w:before="23"/>
              <w:ind w:right="25"/>
              <w:jc w:val="right"/>
              <w:rPr>
                <w:sz w:val="18"/>
              </w:rPr>
            </w:pPr>
            <w:r>
              <w:rPr>
                <w:spacing w:val="-5"/>
                <w:sz w:val="18"/>
              </w:rPr>
              <w:t>315</w:t>
            </w:r>
          </w:p>
        </w:tc>
      </w:tr>
      <w:tr>
        <w:trPr>
          <w:trHeight w:val="254" w:hRule="atLeast"/>
        </w:trPr>
        <w:tc>
          <w:tcPr>
            <w:tcW w:w="7464" w:type="dxa"/>
          </w:tcPr>
          <w:p>
            <w:pPr>
              <w:pStyle w:val="TableParagraph"/>
              <w:rPr>
                <w:rFonts w:ascii="Times New Roman"/>
                <w:sz w:val="18"/>
              </w:rPr>
            </w:pPr>
          </w:p>
        </w:tc>
        <w:tc>
          <w:tcPr>
            <w:tcW w:w="1746" w:type="dxa"/>
            <w:tcBorders>
              <w:top w:val="single" w:sz="18" w:space="0" w:color="000000"/>
              <w:bottom w:val="single" w:sz="18" w:space="0" w:color="000000"/>
            </w:tcBorders>
          </w:tcPr>
          <w:p>
            <w:pPr>
              <w:pStyle w:val="TableParagraph"/>
              <w:spacing w:line="171" w:lineRule="exact" w:before="79"/>
              <w:ind w:right="425"/>
              <w:jc w:val="right"/>
              <w:rPr>
                <w:sz w:val="18"/>
              </w:rPr>
            </w:pPr>
            <w:r>
              <w:rPr>
                <w:spacing w:val="-2"/>
                <w:sz w:val="18"/>
              </w:rPr>
              <w:t>3.897</w:t>
            </w:r>
          </w:p>
        </w:tc>
        <w:tc>
          <w:tcPr>
            <w:tcW w:w="1023" w:type="dxa"/>
            <w:tcBorders>
              <w:top w:val="single" w:sz="18" w:space="0" w:color="000000"/>
              <w:bottom w:val="single" w:sz="18" w:space="0" w:color="000000"/>
            </w:tcBorders>
          </w:tcPr>
          <w:p>
            <w:pPr>
              <w:pStyle w:val="TableParagraph"/>
              <w:spacing w:line="171" w:lineRule="exact" w:before="79"/>
              <w:ind w:right="25"/>
              <w:jc w:val="right"/>
              <w:rPr>
                <w:sz w:val="18"/>
              </w:rPr>
            </w:pPr>
            <w:r>
              <w:rPr>
                <w:spacing w:val="-5"/>
                <w:sz w:val="18"/>
              </w:rPr>
              <w:t>315</w:t>
            </w:r>
          </w:p>
        </w:tc>
      </w:tr>
      <w:tr>
        <w:trPr>
          <w:trHeight w:val="833" w:hRule="atLeast"/>
        </w:trPr>
        <w:tc>
          <w:tcPr>
            <w:tcW w:w="7464" w:type="dxa"/>
          </w:tcPr>
          <w:p>
            <w:pPr>
              <w:pStyle w:val="TableParagraph"/>
              <w:spacing w:before="35"/>
              <w:ind w:left="50"/>
              <w:rPr>
                <w:b/>
                <w:sz w:val="18"/>
              </w:rPr>
            </w:pPr>
            <w:r>
              <w:rPr>
                <w:b/>
                <w:spacing w:val="-2"/>
                <w:sz w:val="18"/>
              </w:rPr>
              <w:t>Passivo</w:t>
            </w:r>
          </w:p>
          <w:p>
            <w:pPr>
              <w:pStyle w:val="TableParagraph"/>
              <w:spacing w:line="272" w:lineRule="exact" w:before="3"/>
              <w:ind w:left="257" w:right="5733" w:hanging="208"/>
              <w:rPr>
                <w:sz w:val="18"/>
              </w:rPr>
            </w:pPr>
            <w:r>
              <w:rPr>
                <w:spacing w:val="-2"/>
                <w:sz w:val="18"/>
              </w:rPr>
              <w:t>Circulante</w:t>
            </w:r>
            <w:r>
              <w:rPr>
                <w:sz w:val="18"/>
              </w:rPr>
              <w:t> </w:t>
            </w:r>
            <w:r>
              <w:rPr>
                <w:spacing w:val="-2"/>
                <w:sz w:val="18"/>
              </w:rPr>
              <w:t>Fornecedores</w:t>
            </w:r>
          </w:p>
        </w:tc>
        <w:tc>
          <w:tcPr>
            <w:tcW w:w="1746" w:type="dxa"/>
            <w:tcBorders>
              <w:top w:val="single" w:sz="18" w:space="0" w:color="000000"/>
            </w:tcBorders>
          </w:tcPr>
          <w:p>
            <w:pPr>
              <w:pStyle w:val="TableParagraph"/>
              <w:rPr>
                <w:sz w:val="18"/>
              </w:rPr>
            </w:pPr>
          </w:p>
          <w:p>
            <w:pPr>
              <w:pStyle w:val="TableParagraph"/>
              <w:spacing w:before="135"/>
              <w:rPr>
                <w:sz w:val="18"/>
              </w:rPr>
            </w:pPr>
          </w:p>
          <w:p>
            <w:pPr>
              <w:pStyle w:val="TableParagraph"/>
              <w:ind w:right="425"/>
              <w:jc w:val="right"/>
              <w:rPr>
                <w:sz w:val="18"/>
              </w:rPr>
            </w:pPr>
            <w:r>
              <w:rPr>
                <w:spacing w:val="-2"/>
                <w:sz w:val="18"/>
              </w:rPr>
              <w:t>1.032</w:t>
            </w:r>
          </w:p>
        </w:tc>
        <w:tc>
          <w:tcPr>
            <w:tcW w:w="1023" w:type="dxa"/>
            <w:tcBorders>
              <w:top w:val="single" w:sz="18" w:space="0" w:color="000000"/>
            </w:tcBorders>
          </w:tcPr>
          <w:p>
            <w:pPr>
              <w:pStyle w:val="TableParagraph"/>
              <w:rPr>
                <w:sz w:val="18"/>
              </w:rPr>
            </w:pPr>
          </w:p>
          <w:p>
            <w:pPr>
              <w:pStyle w:val="TableParagraph"/>
              <w:spacing w:before="135"/>
              <w:rPr>
                <w:sz w:val="18"/>
              </w:rPr>
            </w:pPr>
          </w:p>
          <w:p>
            <w:pPr>
              <w:pStyle w:val="TableParagraph"/>
              <w:ind w:right="96"/>
              <w:jc w:val="right"/>
              <w:rPr>
                <w:sz w:val="18"/>
              </w:rPr>
            </w:pPr>
            <w:r>
              <w:rPr>
                <w:spacing w:val="-2"/>
                <w:sz w:val="18"/>
              </w:rPr>
              <w:t>1.933</w:t>
            </w:r>
          </w:p>
        </w:tc>
      </w:tr>
      <w:tr>
        <w:trPr>
          <w:trHeight w:val="194" w:hRule="atLeast"/>
        </w:trPr>
        <w:tc>
          <w:tcPr>
            <w:tcW w:w="7464" w:type="dxa"/>
          </w:tcPr>
          <w:p>
            <w:pPr>
              <w:pStyle w:val="TableParagraph"/>
              <w:spacing w:line="166" w:lineRule="exact" w:before="8"/>
              <w:ind w:left="257"/>
              <w:rPr>
                <w:sz w:val="18"/>
              </w:rPr>
            </w:pPr>
            <w:r>
              <w:rPr>
                <w:sz w:val="18"/>
              </w:rPr>
              <w:t>Outras</w:t>
            </w:r>
            <w:r>
              <w:rPr>
                <w:spacing w:val="-5"/>
                <w:sz w:val="18"/>
              </w:rPr>
              <w:t> </w:t>
            </w:r>
            <w:r>
              <w:rPr>
                <w:sz w:val="18"/>
              </w:rPr>
              <w:t>contas</w:t>
            </w:r>
            <w:r>
              <w:rPr>
                <w:spacing w:val="-2"/>
                <w:sz w:val="18"/>
              </w:rPr>
              <w:t> </w:t>
            </w:r>
            <w:r>
              <w:rPr>
                <w:sz w:val="18"/>
              </w:rPr>
              <w:t>e</w:t>
            </w:r>
            <w:r>
              <w:rPr>
                <w:spacing w:val="-2"/>
                <w:sz w:val="18"/>
              </w:rPr>
              <w:t> </w:t>
            </w:r>
            <w:r>
              <w:rPr>
                <w:sz w:val="18"/>
              </w:rPr>
              <w:t>despesas</w:t>
            </w:r>
            <w:r>
              <w:rPr>
                <w:spacing w:val="-3"/>
                <w:sz w:val="18"/>
              </w:rPr>
              <w:t> </w:t>
            </w:r>
            <w:r>
              <w:rPr>
                <w:sz w:val="18"/>
              </w:rPr>
              <w:t>a</w:t>
            </w:r>
            <w:r>
              <w:rPr>
                <w:spacing w:val="-2"/>
                <w:sz w:val="18"/>
              </w:rPr>
              <w:t> </w:t>
            </w:r>
            <w:r>
              <w:rPr>
                <w:spacing w:val="-4"/>
                <w:sz w:val="18"/>
              </w:rPr>
              <w:t>pagar</w:t>
            </w:r>
          </w:p>
        </w:tc>
        <w:tc>
          <w:tcPr>
            <w:tcW w:w="1746" w:type="dxa"/>
            <w:tcBorders>
              <w:bottom w:val="single" w:sz="24" w:space="0" w:color="000000"/>
            </w:tcBorders>
          </w:tcPr>
          <w:p>
            <w:pPr>
              <w:pStyle w:val="TableParagraph"/>
              <w:spacing w:line="166" w:lineRule="exact" w:before="8"/>
              <w:ind w:right="425"/>
              <w:jc w:val="right"/>
              <w:rPr>
                <w:sz w:val="18"/>
              </w:rPr>
            </w:pPr>
            <w:r>
              <w:rPr>
                <w:spacing w:val="-5"/>
                <w:sz w:val="18"/>
              </w:rPr>
              <w:t>623</w:t>
            </w:r>
          </w:p>
        </w:tc>
        <w:tc>
          <w:tcPr>
            <w:tcW w:w="1023" w:type="dxa"/>
            <w:tcBorders>
              <w:bottom w:val="single" w:sz="24" w:space="0" w:color="000000"/>
            </w:tcBorders>
          </w:tcPr>
          <w:p>
            <w:pPr>
              <w:pStyle w:val="TableParagraph"/>
              <w:spacing w:line="166" w:lineRule="exact" w:before="8"/>
              <w:ind w:right="25"/>
              <w:jc w:val="right"/>
              <w:rPr>
                <w:sz w:val="18"/>
              </w:rPr>
            </w:pPr>
            <w:r>
              <w:rPr>
                <w:spacing w:val="-2"/>
                <w:sz w:val="18"/>
              </w:rPr>
              <w:t>1.138</w:t>
            </w:r>
          </w:p>
        </w:tc>
      </w:tr>
      <w:tr>
        <w:trPr>
          <w:trHeight w:val="240" w:hRule="atLeast"/>
        </w:trPr>
        <w:tc>
          <w:tcPr>
            <w:tcW w:w="7464" w:type="dxa"/>
          </w:tcPr>
          <w:p>
            <w:pPr>
              <w:pStyle w:val="TableParagraph"/>
              <w:rPr>
                <w:rFonts w:ascii="Times New Roman"/>
                <w:sz w:val="16"/>
              </w:rPr>
            </w:pPr>
          </w:p>
        </w:tc>
        <w:tc>
          <w:tcPr>
            <w:tcW w:w="1746" w:type="dxa"/>
            <w:tcBorders>
              <w:top w:val="single" w:sz="24" w:space="0" w:color="000000"/>
              <w:bottom w:val="single" w:sz="24" w:space="0" w:color="000000"/>
            </w:tcBorders>
          </w:tcPr>
          <w:p>
            <w:pPr>
              <w:pStyle w:val="TableParagraph"/>
              <w:spacing w:line="211" w:lineRule="exact" w:before="9"/>
              <w:ind w:right="425"/>
              <w:jc w:val="right"/>
              <w:rPr>
                <w:sz w:val="18"/>
              </w:rPr>
            </w:pPr>
            <w:r>
              <w:rPr>
                <w:spacing w:val="-2"/>
                <w:sz w:val="18"/>
              </w:rPr>
              <w:t>1.655</w:t>
            </w:r>
          </w:p>
        </w:tc>
        <w:tc>
          <w:tcPr>
            <w:tcW w:w="1023" w:type="dxa"/>
            <w:tcBorders>
              <w:top w:val="single" w:sz="24" w:space="0" w:color="000000"/>
              <w:bottom w:val="single" w:sz="24" w:space="0" w:color="000000"/>
            </w:tcBorders>
          </w:tcPr>
          <w:p>
            <w:pPr>
              <w:pStyle w:val="TableParagraph"/>
              <w:spacing w:line="211" w:lineRule="exact" w:before="9"/>
              <w:ind w:right="96"/>
              <w:jc w:val="right"/>
              <w:rPr>
                <w:sz w:val="18"/>
              </w:rPr>
            </w:pPr>
            <w:r>
              <w:rPr>
                <w:spacing w:val="-2"/>
                <w:sz w:val="18"/>
              </w:rPr>
              <w:t>3.071</w:t>
            </w:r>
          </w:p>
        </w:tc>
      </w:tr>
    </w:tbl>
    <w:p>
      <w:pPr>
        <w:pStyle w:val="BodyText"/>
        <w:spacing w:before="39"/>
      </w:pPr>
    </w:p>
    <w:p>
      <w:pPr>
        <w:pStyle w:val="BodyText"/>
        <w:ind w:left="151" w:right="358"/>
        <w:jc w:val="both"/>
      </w:pPr>
      <w:r>
        <w:rPr/>
        <w:t>Os saldos de caixa e equivalentes de caixa, contas a receber, fornecedores e de contas a pagar estão mensurados ao custo amortizado. Os valores justos dos instrumentos financeiros da Companhia são equivalentes aos seus valores contábeis.</w:t>
      </w:r>
    </w:p>
    <w:p>
      <w:pPr>
        <w:pStyle w:val="BodyText"/>
        <w:spacing w:before="241"/>
        <w:ind w:left="151" w:right="361"/>
        <w:jc w:val="both"/>
      </w:pPr>
      <w:r>
        <w:rPr/>
        <w:t>O Contas a receber‐FIDC, conforme divulgação (nota 6.1), está mensurado pelo seu valor justo por meio do </w:t>
      </w:r>
      <w:r>
        <w:rPr>
          <w:spacing w:val="-2"/>
        </w:rPr>
        <w:t>resultado.</w:t>
      </w:r>
    </w:p>
    <w:p>
      <w:pPr>
        <w:pStyle w:val="BodyText"/>
        <w:spacing w:before="240"/>
        <w:ind w:left="152"/>
        <w:jc w:val="both"/>
      </w:pPr>
      <w:r>
        <w:rPr/>
        <w:t>As</w:t>
      </w:r>
      <w:r>
        <w:rPr>
          <w:spacing w:val="-6"/>
        </w:rPr>
        <w:t> </w:t>
      </w:r>
      <w:r>
        <w:rPr/>
        <w:t>operações</w:t>
      </w:r>
      <w:r>
        <w:rPr>
          <w:spacing w:val="-6"/>
        </w:rPr>
        <w:t> </w:t>
      </w:r>
      <w:r>
        <w:rPr/>
        <w:t>da</w:t>
      </w:r>
      <w:r>
        <w:rPr>
          <w:spacing w:val="-6"/>
        </w:rPr>
        <w:t> </w:t>
      </w:r>
      <w:r>
        <w:rPr/>
        <w:t>Companhia</w:t>
      </w:r>
      <w:r>
        <w:rPr>
          <w:spacing w:val="-7"/>
        </w:rPr>
        <w:t> </w:t>
      </w:r>
      <w:r>
        <w:rPr/>
        <w:t>estão</w:t>
      </w:r>
      <w:r>
        <w:rPr>
          <w:spacing w:val="-6"/>
        </w:rPr>
        <w:t> </w:t>
      </w:r>
      <w:r>
        <w:rPr/>
        <w:t>sujeitas</w:t>
      </w:r>
      <w:r>
        <w:rPr>
          <w:spacing w:val="-6"/>
        </w:rPr>
        <w:t> </w:t>
      </w:r>
      <w:r>
        <w:rPr/>
        <w:t>aos</w:t>
      </w:r>
      <w:r>
        <w:rPr>
          <w:spacing w:val="-6"/>
        </w:rPr>
        <w:t> </w:t>
      </w:r>
      <w:r>
        <w:rPr/>
        <w:t>fatores</w:t>
      </w:r>
      <w:r>
        <w:rPr>
          <w:spacing w:val="-6"/>
        </w:rPr>
        <w:t> </w:t>
      </w:r>
      <w:r>
        <w:rPr/>
        <w:t>de</w:t>
      </w:r>
      <w:r>
        <w:rPr>
          <w:spacing w:val="-6"/>
        </w:rPr>
        <w:t> </w:t>
      </w:r>
      <w:r>
        <w:rPr/>
        <w:t>riscos</w:t>
      </w:r>
      <w:r>
        <w:rPr>
          <w:spacing w:val="-7"/>
        </w:rPr>
        <w:t> </w:t>
      </w:r>
      <w:r>
        <w:rPr/>
        <w:t>abaixo</w:t>
      </w:r>
      <w:r>
        <w:rPr>
          <w:spacing w:val="-6"/>
        </w:rPr>
        <w:t> </w:t>
      </w:r>
      <w:r>
        <w:rPr>
          <w:spacing w:val="-2"/>
        </w:rPr>
        <w:t>descritos:</w:t>
      </w:r>
    </w:p>
    <w:p>
      <w:pPr>
        <w:pStyle w:val="ListParagraph"/>
        <w:numPr>
          <w:ilvl w:val="0"/>
          <w:numId w:val="17"/>
        </w:numPr>
        <w:tabs>
          <w:tab w:pos="718" w:val="left" w:leader="none"/>
        </w:tabs>
        <w:spacing w:line="240" w:lineRule="auto" w:before="239" w:after="0"/>
        <w:ind w:left="718" w:right="0" w:hanging="568"/>
        <w:jc w:val="left"/>
        <w:rPr>
          <w:b/>
          <w:sz w:val="24"/>
        </w:rPr>
      </w:pPr>
      <w:r>
        <w:rPr>
          <w:b/>
          <w:sz w:val="24"/>
        </w:rPr>
        <w:t>Risco</w:t>
      </w:r>
      <w:r>
        <w:rPr>
          <w:b/>
          <w:spacing w:val="-2"/>
          <w:sz w:val="24"/>
        </w:rPr>
        <w:t> </w:t>
      </w:r>
      <w:r>
        <w:rPr>
          <w:b/>
          <w:sz w:val="24"/>
        </w:rPr>
        <w:t>de</w:t>
      </w:r>
      <w:r>
        <w:rPr>
          <w:b/>
          <w:spacing w:val="-4"/>
          <w:sz w:val="24"/>
        </w:rPr>
        <w:t> </w:t>
      </w:r>
      <w:r>
        <w:rPr>
          <w:b/>
          <w:spacing w:val="-2"/>
          <w:sz w:val="24"/>
        </w:rPr>
        <w:t>crédito</w:t>
      </w:r>
    </w:p>
    <w:p>
      <w:pPr>
        <w:pStyle w:val="BodyText"/>
        <w:spacing w:before="239"/>
        <w:ind w:left="151" w:right="354"/>
        <w:jc w:val="both"/>
      </w:pPr>
      <w:r>
        <w:rPr/>
        <w:t>A Companhia está exposta ao risco de crédito das instituições financeiras decorrentes da administração de seu caixa, que é feita com base nas orientações corporativas de sua controladora Petrobras. Tal risco consiste na impossibilidade de</w:t>
      </w:r>
      <w:r>
        <w:rPr>
          <w:spacing w:val="-1"/>
        </w:rPr>
        <w:t> </w:t>
      </w:r>
      <w:r>
        <w:rPr/>
        <w:t>saque ou</w:t>
      </w:r>
      <w:r>
        <w:rPr>
          <w:spacing w:val="-1"/>
        </w:rPr>
        <w:t> </w:t>
      </w:r>
      <w:r>
        <w:rPr/>
        <w:t>resgate</w:t>
      </w:r>
      <w:r>
        <w:rPr>
          <w:spacing w:val="-1"/>
        </w:rPr>
        <w:t> </w:t>
      </w:r>
      <w:r>
        <w:rPr/>
        <w:t>dos valores depositados,</w:t>
      </w:r>
      <w:r>
        <w:rPr>
          <w:spacing w:val="-2"/>
        </w:rPr>
        <w:t> </w:t>
      </w:r>
      <w:r>
        <w:rPr/>
        <w:t>aplicados ou</w:t>
      </w:r>
      <w:r>
        <w:rPr>
          <w:spacing w:val="-1"/>
        </w:rPr>
        <w:t> </w:t>
      </w:r>
      <w:r>
        <w:rPr/>
        <w:t>garantidos por instituições financeiras. A</w:t>
      </w:r>
      <w:r>
        <w:rPr>
          <w:spacing w:val="-10"/>
        </w:rPr>
        <w:t> </w:t>
      </w:r>
      <w:r>
        <w:rPr/>
        <w:t>exposição</w:t>
      </w:r>
      <w:r>
        <w:rPr>
          <w:spacing w:val="-8"/>
        </w:rPr>
        <w:t> </w:t>
      </w:r>
      <w:r>
        <w:rPr/>
        <w:t>máxima</w:t>
      </w:r>
      <w:r>
        <w:rPr>
          <w:spacing w:val="-11"/>
        </w:rPr>
        <w:t> </w:t>
      </w:r>
      <w:r>
        <w:rPr/>
        <w:t>ao</w:t>
      </w:r>
      <w:r>
        <w:rPr>
          <w:spacing w:val="-9"/>
        </w:rPr>
        <w:t> </w:t>
      </w:r>
      <w:r>
        <w:rPr/>
        <w:t>risco</w:t>
      </w:r>
      <w:r>
        <w:rPr>
          <w:spacing w:val="-8"/>
        </w:rPr>
        <w:t> </w:t>
      </w:r>
      <w:r>
        <w:rPr/>
        <w:t>de</w:t>
      </w:r>
      <w:r>
        <w:rPr>
          <w:spacing w:val="-10"/>
        </w:rPr>
        <w:t> </w:t>
      </w:r>
      <w:r>
        <w:rPr/>
        <w:t>crédito</w:t>
      </w:r>
      <w:r>
        <w:rPr>
          <w:spacing w:val="-8"/>
        </w:rPr>
        <w:t> </w:t>
      </w:r>
      <w:r>
        <w:rPr/>
        <w:t>está</w:t>
      </w:r>
      <w:r>
        <w:rPr>
          <w:spacing w:val="-8"/>
        </w:rPr>
        <w:t> </w:t>
      </w:r>
      <w:r>
        <w:rPr/>
        <w:t>representada</w:t>
      </w:r>
      <w:r>
        <w:rPr>
          <w:spacing w:val="-8"/>
        </w:rPr>
        <w:t> </w:t>
      </w:r>
      <w:r>
        <w:rPr/>
        <w:t>pelos</w:t>
      </w:r>
      <w:r>
        <w:rPr>
          <w:spacing w:val="-10"/>
        </w:rPr>
        <w:t> </w:t>
      </w:r>
      <w:r>
        <w:rPr/>
        <w:t>saldos</w:t>
      </w:r>
      <w:r>
        <w:rPr>
          <w:spacing w:val="-9"/>
        </w:rPr>
        <w:t> </w:t>
      </w:r>
      <w:r>
        <w:rPr/>
        <w:t>de</w:t>
      </w:r>
      <w:r>
        <w:rPr>
          <w:spacing w:val="-10"/>
        </w:rPr>
        <w:t> </w:t>
      </w:r>
      <w:r>
        <w:rPr/>
        <w:t>caixa</w:t>
      </w:r>
      <w:r>
        <w:rPr>
          <w:spacing w:val="-8"/>
        </w:rPr>
        <w:t> </w:t>
      </w:r>
      <w:r>
        <w:rPr/>
        <w:t>e</w:t>
      </w:r>
      <w:r>
        <w:rPr>
          <w:spacing w:val="-13"/>
        </w:rPr>
        <w:t> </w:t>
      </w:r>
      <w:r>
        <w:rPr/>
        <w:t>equivalentes</w:t>
      </w:r>
      <w:r>
        <w:rPr>
          <w:spacing w:val="-6"/>
        </w:rPr>
        <w:t> </w:t>
      </w:r>
      <w:r>
        <w:rPr/>
        <w:t>de</w:t>
      </w:r>
      <w:r>
        <w:rPr>
          <w:spacing w:val="-10"/>
        </w:rPr>
        <w:t> </w:t>
      </w:r>
      <w:r>
        <w:rPr/>
        <w:t>caixa</w:t>
      </w:r>
      <w:r>
        <w:rPr>
          <w:spacing w:val="-8"/>
        </w:rPr>
        <w:t> </w:t>
      </w:r>
      <w:r>
        <w:rPr/>
        <w:t>e</w:t>
      </w:r>
      <w:r>
        <w:rPr>
          <w:spacing w:val="-10"/>
        </w:rPr>
        <w:t> </w:t>
      </w:r>
      <w:r>
        <w:rPr/>
        <w:t>recebíveis de ativos financeiros em 31 de dezembro de 2022 e</w:t>
      </w:r>
      <w:r>
        <w:rPr>
          <w:spacing w:val="-3"/>
        </w:rPr>
        <w:t> </w:t>
      </w:r>
      <w:r>
        <w:rPr/>
        <w:t>2021.</w:t>
      </w:r>
    </w:p>
    <w:p>
      <w:pPr>
        <w:pStyle w:val="BodyText"/>
        <w:spacing w:before="242"/>
        <w:ind w:left="152" w:right="359" w:hanging="1"/>
        <w:jc w:val="both"/>
      </w:pPr>
      <w:r>
        <w:rPr/>
        <w:t>A Administração avalia que</w:t>
      </w:r>
      <w:r>
        <w:rPr>
          <w:spacing w:val="-1"/>
        </w:rPr>
        <w:t> </w:t>
      </w:r>
      <w:r>
        <w:rPr/>
        <w:t>os riscos de</w:t>
      </w:r>
      <w:r>
        <w:rPr>
          <w:spacing w:val="-1"/>
        </w:rPr>
        <w:t> </w:t>
      </w:r>
      <w:r>
        <w:rPr/>
        <w:t>crédito associados aos saldos de</w:t>
      </w:r>
      <w:r>
        <w:rPr>
          <w:spacing w:val="-1"/>
        </w:rPr>
        <w:t> </w:t>
      </w:r>
      <w:r>
        <w:rPr/>
        <w:t>caixa e</w:t>
      </w:r>
      <w:r>
        <w:rPr>
          <w:spacing w:val="-1"/>
        </w:rPr>
        <w:t> </w:t>
      </w:r>
      <w:r>
        <w:rPr/>
        <w:t>equivalentes de</w:t>
      </w:r>
      <w:r>
        <w:rPr>
          <w:spacing w:val="-1"/>
        </w:rPr>
        <w:t> </w:t>
      </w:r>
      <w:r>
        <w:rPr/>
        <w:t>caixa e</w:t>
      </w:r>
      <w:r>
        <w:rPr>
          <w:spacing w:val="-1"/>
        </w:rPr>
        <w:t> </w:t>
      </w:r>
      <w:r>
        <w:rPr/>
        <w:t>recebíveis são reduzidos, em função de suas operações serem realizadas com base em análise e orientações corporativas de sua controladora Petrobras e com instituições financeiras brasileiras de reconhecida liquidez.</w:t>
      </w:r>
    </w:p>
    <w:p>
      <w:pPr>
        <w:pStyle w:val="BodyText"/>
        <w:spacing w:before="240"/>
        <w:ind w:left="152" w:right="364" w:hanging="1"/>
        <w:jc w:val="both"/>
      </w:pPr>
      <w:r>
        <w:rPr/>
        <w:t>A Companhia procura mitigar o risco de crédito associado aos seus clientes principalmente com base no histórico de operações e recebimento e com base em análise de crédito.</w:t>
      </w:r>
    </w:p>
    <w:p>
      <w:pPr>
        <w:spacing w:after="0"/>
        <w:jc w:val="both"/>
        <w:sectPr>
          <w:pgSz w:w="11910" w:h="16840"/>
          <w:pgMar w:header="637" w:footer="630" w:top="1800" w:bottom="820" w:left="700" w:right="480"/>
        </w:sectPr>
      </w:pPr>
    </w:p>
    <w:p>
      <w:pPr>
        <w:pStyle w:val="ListParagraph"/>
        <w:numPr>
          <w:ilvl w:val="0"/>
          <w:numId w:val="17"/>
        </w:numPr>
        <w:tabs>
          <w:tab w:pos="718" w:val="left" w:leader="none"/>
        </w:tabs>
        <w:spacing w:line="240" w:lineRule="auto" w:before="286" w:after="0"/>
        <w:ind w:left="718" w:right="0" w:hanging="568"/>
        <w:jc w:val="left"/>
        <w:rPr>
          <w:b/>
          <w:sz w:val="24"/>
        </w:rPr>
      </w:pPr>
      <w:r>
        <w:rPr>
          <w:b/>
          <w:sz w:val="24"/>
        </w:rPr>
        <w:t>Risco</w:t>
      </w:r>
      <w:r>
        <w:rPr>
          <w:b/>
          <w:spacing w:val="-4"/>
          <w:sz w:val="24"/>
        </w:rPr>
        <w:t> </w:t>
      </w:r>
      <w:r>
        <w:rPr>
          <w:b/>
          <w:sz w:val="24"/>
        </w:rPr>
        <w:t>de</w:t>
      </w:r>
      <w:r>
        <w:rPr>
          <w:b/>
          <w:spacing w:val="-4"/>
          <w:sz w:val="24"/>
        </w:rPr>
        <w:t> </w:t>
      </w:r>
      <w:r>
        <w:rPr>
          <w:b/>
          <w:spacing w:val="-2"/>
          <w:sz w:val="24"/>
        </w:rPr>
        <w:t>liquidez</w:t>
      </w:r>
    </w:p>
    <w:p>
      <w:pPr>
        <w:pStyle w:val="BodyText"/>
        <w:spacing w:before="241"/>
        <w:ind w:left="151" w:right="355"/>
        <w:jc w:val="both"/>
      </w:pPr>
      <w:r>
        <w:rPr/>
        <w:t>A Companhia utiliza seus recursos, principalmente, com despesas de capital de giro. Historicamente, as condições são atendidas com recursos gerados internamente, por dívidas de curto e longo prazos, transações de vendas e aportes da Controladora, quando necessário. Estas origens de recursos, somadas à posição financeira da Companhia, tendem a continuar permitindo o cumprimento dos requisitos de capital estabelecidos de forma </w:t>
      </w:r>
      <w:r>
        <w:rPr>
          <w:spacing w:val="-2"/>
        </w:rPr>
        <w:t>corporativa.</w:t>
      </w:r>
    </w:p>
    <w:p>
      <w:pPr>
        <w:pStyle w:val="ListParagraph"/>
        <w:numPr>
          <w:ilvl w:val="0"/>
          <w:numId w:val="17"/>
        </w:numPr>
        <w:tabs>
          <w:tab w:pos="718" w:val="left" w:leader="none"/>
        </w:tabs>
        <w:spacing w:line="240" w:lineRule="auto" w:before="238" w:after="0"/>
        <w:ind w:left="718" w:right="0" w:hanging="568"/>
        <w:jc w:val="left"/>
        <w:rPr>
          <w:b/>
          <w:sz w:val="24"/>
        </w:rPr>
      </w:pPr>
      <w:r>
        <w:rPr>
          <w:b/>
          <w:sz w:val="24"/>
        </w:rPr>
        <w:t>Risco</w:t>
      </w:r>
      <w:r>
        <w:rPr>
          <w:b/>
          <w:spacing w:val="-5"/>
          <w:sz w:val="24"/>
        </w:rPr>
        <w:t> </w:t>
      </w:r>
      <w:r>
        <w:rPr>
          <w:b/>
          <w:sz w:val="24"/>
        </w:rPr>
        <w:t>de</w:t>
      </w:r>
      <w:r>
        <w:rPr>
          <w:b/>
          <w:spacing w:val="-1"/>
          <w:sz w:val="24"/>
        </w:rPr>
        <w:t> </w:t>
      </w:r>
      <w:r>
        <w:rPr>
          <w:b/>
          <w:sz w:val="24"/>
        </w:rPr>
        <w:t>taxa</w:t>
      </w:r>
      <w:r>
        <w:rPr>
          <w:b/>
          <w:spacing w:val="-1"/>
          <w:sz w:val="24"/>
        </w:rPr>
        <w:t> </w:t>
      </w:r>
      <w:r>
        <w:rPr>
          <w:b/>
          <w:sz w:val="24"/>
        </w:rPr>
        <w:t>de</w:t>
      </w:r>
      <w:r>
        <w:rPr>
          <w:b/>
          <w:spacing w:val="-6"/>
          <w:sz w:val="24"/>
        </w:rPr>
        <w:t> </w:t>
      </w:r>
      <w:r>
        <w:rPr>
          <w:b/>
          <w:spacing w:val="-2"/>
          <w:sz w:val="24"/>
        </w:rPr>
        <w:t>juros</w:t>
      </w:r>
    </w:p>
    <w:p>
      <w:pPr>
        <w:pStyle w:val="BodyText"/>
        <w:spacing w:before="241"/>
        <w:ind w:left="151" w:right="356"/>
        <w:jc w:val="both"/>
      </w:pPr>
      <w:r>
        <w:rPr/>
        <w:t>Decorre da possibilidade de a Companhia sofrer ganhos ou perdas decorrentes de oscilações de taxas de juros incidentes sobre</w:t>
      </w:r>
      <w:r>
        <w:rPr>
          <w:spacing w:val="-2"/>
        </w:rPr>
        <w:t> </w:t>
      </w:r>
      <w:r>
        <w:rPr/>
        <w:t>seus ativos</w:t>
      </w:r>
      <w:r>
        <w:rPr>
          <w:spacing w:val="-2"/>
        </w:rPr>
        <w:t> </w:t>
      </w:r>
      <w:r>
        <w:rPr/>
        <w:t>e</w:t>
      </w:r>
      <w:r>
        <w:rPr>
          <w:spacing w:val="-2"/>
        </w:rPr>
        <w:t> </w:t>
      </w:r>
      <w:r>
        <w:rPr/>
        <w:t>passivos</w:t>
      </w:r>
      <w:r>
        <w:rPr>
          <w:spacing w:val="-1"/>
        </w:rPr>
        <w:t> </w:t>
      </w:r>
      <w:r>
        <w:rPr/>
        <w:t>financeiros. Visando</w:t>
      </w:r>
      <w:r>
        <w:rPr>
          <w:spacing w:val="-1"/>
        </w:rPr>
        <w:t> </w:t>
      </w:r>
      <w:r>
        <w:rPr/>
        <w:t>à</w:t>
      </w:r>
      <w:r>
        <w:rPr>
          <w:spacing w:val="-1"/>
        </w:rPr>
        <w:t> </w:t>
      </w:r>
      <w:r>
        <w:rPr/>
        <w:t>mitigação</w:t>
      </w:r>
      <w:r>
        <w:rPr>
          <w:spacing w:val="-1"/>
        </w:rPr>
        <w:t> </w:t>
      </w:r>
      <w:r>
        <w:rPr/>
        <w:t>desse</w:t>
      </w:r>
      <w:r>
        <w:rPr>
          <w:spacing w:val="-1"/>
        </w:rPr>
        <w:t> </w:t>
      </w:r>
      <w:r>
        <w:rPr/>
        <w:t>tipo</w:t>
      </w:r>
      <w:r>
        <w:rPr>
          <w:spacing w:val="-1"/>
        </w:rPr>
        <w:t> </w:t>
      </w:r>
      <w:r>
        <w:rPr/>
        <w:t>de</w:t>
      </w:r>
      <w:r>
        <w:rPr>
          <w:spacing w:val="-1"/>
        </w:rPr>
        <w:t> </w:t>
      </w:r>
      <w:r>
        <w:rPr/>
        <w:t>risco,</w:t>
      </w:r>
      <w:r>
        <w:rPr>
          <w:spacing w:val="-1"/>
        </w:rPr>
        <w:t> </w:t>
      </w:r>
      <w:r>
        <w:rPr/>
        <w:t>a</w:t>
      </w:r>
      <w:r>
        <w:rPr>
          <w:spacing w:val="-1"/>
        </w:rPr>
        <w:t> </w:t>
      </w:r>
      <w:r>
        <w:rPr/>
        <w:t>Companhia segue</w:t>
      </w:r>
      <w:r>
        <w:rPr>
          <w:spacing w:val="-2"/>
        </w:rPr>
        <w:t> </w:t>
      </w:r>
      <w:r>
        <w:rPr/>
        <w:t>as orientações corporativas para as empresas do Sistema Petrobras.</w:t>
      </w:r>
    </w:p>
    <w:p>
      <w:pPr>
        <w:spacing w:after="0"/>
        <w:jc w:val="both"/>
        <w:sectPr>
          <w:pgSz w:w="11910" w:h="16840"/>
          <w:pgMar w:header="637" w:footer="630" w:top="1800" w:bottom="820" w:left="700" w:right="480"/>
        </w:sectPr>
      </w:pPr>
    </w:p>
    <w:p>
      <w:pPr>
        <w:spacing w:line="260" w:lineRule="exact" w:before="0"/>
        <w:ind w:left="152"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4"/>
          <w:sz w:val="22"/>
        </w:rPr>
        <w:t> </w:t>
      </w:r>
      <w:r>
        <w:rPr>
          <w:i/>
          <w:spacing w:val="-2"/>
          <w:sz w:val="22"/>
        </w:rPr>
        <w:t>Petrobras)</w:t>
      </w:r>
    </w:p>
    <w:p>
      <w:pPr>
        <w:pStyle w:val="Heading4"/>
        <w:tabs>
          <w:tab w:pos="10386" w:val="left" w:leader="none"/>
        </w:tabs>
        <w:spacing w:line="293" w:lineRule="exact"/>
        <w:ind w:left="123"/>
        <w:jc w:val="left"/>
      </w:pPr>
      <w:bookmarkStart w:name="_TOC_250000" w:id="25"/>
      <w:r>
        <w:rPr>
          <w:rFonts w:ascii="Times New Roman"/>
          <w:spacing w:val="-32"/>
          <w:u w:val="thick"/>
        </w:rPr>
        <w:t> </w:t>
      </w:r>
      <w:r>
        <w:rPr>
          <w:u w:val="thick"/>
        </w:rPr>
        <w:t>Diretoria</w:t>
      </w:r>
      <w:r>
        <w:rPr>
          <w:spacing w:val="-1"/>
          <w:u w:val="thick"/>
        </w:rPr>
        <w:t> </w:t>
      </w:r>
      <w:r>
        <w:rPr>
          <w:spacing w:val="-2"/>
          <w:u w:val="thick"/>
        </w:rPr>
        <w:t>Executiva</w:t>
      </w:r>
      <w:bookmarkEnd w:id="25"/>
      <w:r>
        <w:rPr>
          <w:u w:val="thick"/>
        </w:rPr>
        <w:tab/>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34"/>
        <w:rPr>
          <w:sz w:val="24"/>
        </w:rPr>
      </w:pPr>
    </w:p>
    <w:p>
      <w:pPr>
        <w:pStyle w:val="BodyText"/>
        <w:ind w:left="4308"/>
      </w:pPr>
      <w:r>
        <w:rPr/>
        <w:t>FELIPE</w:t>
      </w:r>
      <w:r>
        <w:rPr>
          <w:spacing w:val="-8"/>
        </w:rPr>
        <w:t> </w:t>
      </w:r>
      <w:r>
        <w:rPr/>
        <w:t>LEONARDO</w:t>
      </w:r>
      <w:r>
        <w:rPr>
          <w:spacing w:val="-8"/>
        </w:rPr>
        <w:t> </w:t>
      </w:r>
      <w:r>
        <w:rPr>
          <w:spacing w:val="-2"/>
        </w:rPr>
        <w:t>GOMES</w:t>
      </w:r>
    </w:p>
    <w:p>
      <w:pPr>
        <w:pStyle w:val="BodyText"/>
        <w:spacing w:before="32"/>
        <w:ind w:left="39"/>
        <w:jc w:val="center"/>
      </w:pPr>
      <w:r>
        <w:rPr/>
        <w:t>Diretor</w:t>
      </w:r>
      <w:r>
        <w:rPr>
          <w:spacing w:val="-8"/>
        </w:rPr>
        <w:t> </w:t>
      </w:r>
      <w:r>
        <w:rPr>
          <w:spacing w:val="-2"/>
        </w:rPr>
        <w:t>Presidente</w:t>
      </w:r>
    </w:p>
    <w:p>
      <w:pPr>
        <w:pStyle w:val="BodyText"/>
      </w:pPr>
    </w:p>
    <w:p>
      <w:pPr>
        <w:pStyle w:val="BodyText"/>
      </w:pPr>
    </w:p>
    <w:p>
      <w:pPr>
        <w:pStyle w:val="BodyText"/>
      </w:pPr>
    </w:p>
    <w:p>
      <w:pPr>
        <w:pStyle w:val="BodyText"/>
        <w:spacing w:before="142"/>
      </w:pPr>
    </w:p>
    <w:p>
      <w:pPr>
        <w:pStyle w:val="BodyText"/>
        <w:tabs>
          <w:tab w:pos="5945" w:val="left" w:leader="none"/>
        </w:tabs>
        <w:ind w:left="525"/>
      </w:pPr>
      <w:r>
        <w:rPr/>
        <w:t>HERBERT</w:t>
      </w:r>
      <w:r>
        <w:rPr>
          <w:spacing w:val="-7"/>
        </w:rPr>
        <w:t> </w:t>
      </w:r>
      <w:r>
        <w:rPr/>
        <w:t>LUÍZ</w:t>
      </w:r>
      <w:r>
        <w:rPr>
          <w:spacing w:val="-7"/>
        </w:rPr>
        <w:t> </w:t>
      </w:r>
      <w:r>
        <w:rPr/>
        <w:t>DE</w:t>
      </w:r>
      <w:r>
        <w:rPr>
          <w:spacing w:val="-8"/>
        </w:rPr>
        <w:t> </w:t>
      </w:r>
      <w:r>
        <w:rPr/>
        <w:t>ARAÚJO</w:t>
      </w:r>
      <w:r>
        <w:rPr>
          <w:spacing w:val="-5"/>
        </w:rPr>
        <w:t> </w:t>
      </w:r>
      <w:r>
        <w:rPr>
          <w:spacing w:val="-2"/>
        </w:rPr>
        <w:t>GUIMARÃES</w:t>
      </w:r>
      <w:r>
        <w:rPr/>
        <w:tab/>
      </w:r>
      <w:r>
        <w:rPr>
          <w:spacing w:val="-2"/>
        </w:rPr>
        <w:t>ALESSANDRO</w:t>
      </w:r>
      <w:r>
        <w:rPr/>
        <w:t> </w:t>
      </w:r>
      <w:r>
        <w:rPr>
          <w:spacing w:val="-2"/>
        </w:rPr>
        <w:t>MOISÉS</w:t>
      </w:r>
      <w:r>
        <w:rPr>
          <w:spacing w:val="1"/>
        </w:rPr>
        <w:t> </w:t>
      </w:r>
      <w:r>
        <w:rPr>
          <w:spacing w:val="-2"/>
        </w:rPr>
        <w:t>SERRANO</w:t>
      </w:r>
    </w:p>
    <w:p>
      <w:pPr>
        <w:pStyle w:val="BodyText"/>
        <w:tabs>
          <w:tab w:pos="5921" w:val="left" w:leader="none"/>
        </w:tabs>
        <w:spacing w:before="46"/>
        <w:ind w:left="1459"/>
      </w:pPr>
      <w:r>
        <w:rPr/>
        <w:t>Diretor</w:t>
      </w:r>
      <w:r>
        <w:rPr>
          <w:spacing w:val="-8"/>
        </w:rPr>
        <w:t> </w:t>
      </w:r>
      <w:r>
        <w:rPr>
          <w:spacing w:val="-2"/>
        </w:rPr>
        <w:t>Financeiro</w:t>
      </w:r>
      <w:r>
        <w:rPr/>
        <w:tab/>
        <w:t>Diretor</w:t>
      </w:r>
      <w:r>
        <w:rPr>
          <w:spacing w:val="-8"/>
        </w:rPr>
        <w:t> </w:t>
      </w:r>
      <w:r>
        <w:rPr/>
        <w:t>Administrativo</w:t>
      </w:r>
      <w:r>
        <w:rPr>
          <w:spacing w:val="-7"/>
        </w:rPr>
        <w:t> </w:t>
      </w:r>
      <w:r>
        <w:rPr/>
        <w:t>e</w:t>
      </w:r>
      <w:r>
        <w:rPr>
          <w:spacing w:val="-7"/>
        </w:rPr>
        <w:t> </w:t>
      </w:r>
      <w:r>
        <w:rPr>
          <w:spacing w:val="-2"/>
        </w:rPr>
        <w:t>Jurídico</w:t>
      </w:r>
    </w:p>
    <w:p>
      <w:pPr>
        <w:pStyle w:val="BodyText"/>
      </w:pPr>
    </w:p>
    <w:p>
      <w:pPr>
        <w:pStyle w:val="BodyText"/>
      </w:pPr>
    </w:p>
    <w:p>
      <w:pPr>
        <w:pStyle w:val="BodyText"/>
        <w:spacing w:before="111"/>
      </w:pPr>
    </w:p>
    <w:p>
      <w:pPr>
        <w:pStyle w:val="BodyText"/>
        <w:spacing w:before="1"/>
        <w:ind w:left="4308"/>
      </w:pPr>
      <w:r>
        <w:rPr>
          <w:spacing w:val="-2"/>
        </w:rPr>
        <w:t>ROBSON</w:t>
      </w:r>
      <w:r>
        <w:rPr>
          <w:spacing w:val="-1"/>
        </w:rPr>
        <w:t> </w:t>
      </w:r>
      <w:r>
        <w:rPr>
          <w:spacing w:val="-2"/>
        </w:rPr>
        <w:t>HONORATO</w:t>
      </w:r>
    </w:p>
    <w:p>
      <w:pPr>
        <w:pStyle w:val="BodyText"/>
        <w:spacing w:line="249" w:lineRule="auto" w:before="37"/>
        <w:ind w:left="4308" w:right="4275" w:firstLine="735"/>
      </w:pPr>
      <w:r>
        <w:rPr>
          <w:spacing w:val="-2"/>
        </w:rPr>
        <w:t>Contador </w:t>
      </w:r>
      <w:r>
        <w:rPr/>
        <w:t>CRC‐RJ</w:t>
      </w:r>
      <w:r>
        <w:rPr>
          <w:spacing w:val="-13"/>
        </w:rPr>
        <w:t> </w:t>
      </w:r>
      <w:r>
        <w:rPr/>
        <w:t>‐</w:t>
      </w:r>
      <w:r>
        <w:rPr>
          <w:spacing w:val="-12"/>
        </w:rPr>
        <w:t> </w:t>
      </w:r>
      <w:r>
        <w:rPr/>
        <w:t>086.473/O‐7</w:t>
      </w:r>
    </w:p>
    <w:sectPr>
      <w:headerReference w:type="default" r:id="rId20"/>
      <w:footerReference w:type="default" r:id="rId21"/>
      <w:pgSz w:w="11910" w:h="16840"/>
      <w:pgMar w:header="637" w:footer="630" w:top="900" w:bottom="820" w:left="70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Georgia">
    <w:altName w:val="Georgia"/>
    <w:charset w:val="1"/>
    <w:family w:val="roman"/>
    <w:pitch w:val="variable"/>
  </w:font>
  <w:font w:name="Calibri">
    <w:altName w:val="Calibri"/>
    <w:charset w:val="1"/>
    <w:family w:val="roman"/>
    <w:pitch w:val="variable"/>
  </w:font>
  <w:font w:name="Arial MT">
    <w:altName w:val="Arial MT"/>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6944">
              <wp:simplePos x="0" y="0"/>
              <wp:positionH relativeFrom="page">
                <wp:posOffset>830580</wp:posOffset>
              </wp:positionH>
              <wp:positionV relativeFrom="page">
                <wp:posOffset>10005119</wp:posOffset>
              </wp:positionV>
              <wp:extent cx="153670" cy="15303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53670" cy="153035"/>
                      </a:xfrm>
                      <a:prstGeom prst="rect">
                        <a:avLst/>
                      </a:prstGeom>
                    </wps:spPr>
                    <wps:txbx>
                      <w:txbxContent>
                        <w:p>
                          <w:pPr>
                            <w:spacing w:line="224" w:lineRule="exact" w:before="0"/>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5</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65.400002pt;margin-top:787.804688pt;width:12.1pt;height:12.05pt;mso-position-horizontal-relative:page;mso-position-vertical-relative:page;z-index:-17729536" type="#_x0000_t202" id="docshape4" filled="false" stroked="false">
              <v:textbox inset="0,0,0,0">
                <w:txbxContent>
                  <w:p>
                    <w:pPr>
                      <w:spacing w:line="224" w:lineRule="exact" w:before="0"/>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5</w:t>
                    </w:r>
                    <w:r>
                      <w:rPr>
                        <w:spacing w:val="-10"/>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7456">
              <wp:simplePos x="0" y="0"/>
              <wp:positionH relativeFrom="page">
                <wp:posOffset>914653</wp:posOffset>
              </wp:positionH>
              <wp:positionV relativeFrom="page">
                <wp:posOffset>9682765</wp:posOffset>
              </wp:positionV>
              <wp:extent cx="2390140" cy="34544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390140" cy="345440"/>
                      </a:xfrm>
                      <a:prstGeom prst="rect">
                        <a:avLst/>
                      </a:prstGeom>
                    </wps:spPr>
                    <wps:txbx>
                      <w:txbxContent>
                        <w:p>
                          <w:pPr>
                            <w:spacing w:before="16"/>
                            <w:ind w:left="20" w:right="18" w:firstLine="0"/>
                            <w:jc w:val="left"/>
                            <w:rPr>
                              <w:rFonts w:ascii="Arial MT" w:hAnsi="Arial MT"/>
                              <w:sz w:val="11"/>
                            </w:rPr>
                          </w:pPr>
                          <w:r>
                            <w:rPr>
                              <w:rFonts w:ascii="Arial MT" w:hAnsi="Arial MT"/>
                              <w:color w:val="A6A6A6"/>
                              <w:sz w:val="11"/>
                            </w:rPr>
                            <w:t>KPMG</w:t>
                          </w:r>
                          <w:r>
                            <w:rPr>
                              <w:rFonts w:ascii="Arial MT" w:hAnsi="Arial MT"/>
                              <w:color w:val="A6A6A6"/>
                              <w:spacing w:val="-5"/>
                              <w:sz w:val="11"/>
                            </w:rPr>
                            <w:t> </w:t>
                          </w:r>
                          <w:r>
                            <w:rPr>
                              <w:rFonts w:ascii="Arial MT" w:hAnsi="Arial MT"/>
                              <w:color w:val="A6A6A6"/>
                              <w:sz w:val="11"/>
                            </w:rPr>
                            <w:t>Auditores</w:t>
                          </w:r>
                          <w:r>
                            <w:rPr>
                              <w:rFonts w:ascii="Arial MT" w:hAnsi="Arial MT"/>
                              <w:color w:val="A6A6A6"/>
                              <w:spacing w:val="-6"/>
                              <w:sz w:val="11"/>
                            </w:rPr>
                            <w:t> </w:t>
                          </w:r>
                          <w:r>
                            <w:rPr>
                              <w:rFonts w:ascii="Arial MT" w:hAnsi="Arial MT"/>
                              <w:color w:val="A6A6A6"/>
                              <w:sz w:val="11"/>
                            </w:rPr>
                            <w:t>Independentes</w:t>
                          </w:r>
                          <w:r>
                            <w:rPr>
                              <w:rFonts w:ascii="Arial MT" w:hAnsi="Arial MT"/>
                              <w:color w:val="A6A6A6"/>
                              <w:spacing w:val="-5"/>
                              <w:sz w:val="11"/>
                            </w:rPr>
                            <w:t> </w:t>
                          </w:r>
                          <w:r>
                            <w:rPr>
                              <w:rFonts w:ascii="Arial MT" w:hAnsi="Arial MT"/>
                              <w:color w:val="A6A6A6"/>
                              <w:sz w:val="11"/>
                            </w:rPr>
                            <w:t>Ltda.,</w:t>
                          </w:r>
                          <w:r>
                            <w:rPr>
                              <w:rFonts w:ascii="Arial MT" w:hAnsi="Arial MT"/>
                              <w:color w:val="A6A6A6"/>
                              <w:spacing w:val="-5"/>
                              <w:sz w:val="11"/>
                            </w:rPr>
                            <w:t> </w:t>
                          </w:r>
                          <w:r>
                            <w:rPr>
                              <w:rFonts w:ascii="Arial MT" w:hAnsi="Arial MT"/>
                              <w:color w:val="A6A6A6"/>
                              <w:sz w:val="11"/>
                            </w:rPr>
                            <w:t>uma</w:t>
                          </w:r>
                          <w:r>
                            <w:rPr>
                              <w:rFonts w:ascii="Arial MT" w:hAnsi="Arial MT"/>
                              <w:color w:val="A6A6A6"/>
                              <w:spacing w:val="-6"/>
                              <w:sz w:val="11"/>
                            </w:rPr>
                            <w:t> </w:t>
                          </w:r>
                          <w:r>
                            <w:rPr>
                              <w:rFonts w:ascii="Arial MT" w:hAnsi="Arial MT"/>
                              <w:color w:val="A6A6A6"/>
                              <w:sz w:val="11"/>
                            </w:rPr>
                            <w:t>sociedade</w:t>
                          </w:r>
                          <w:r>
                            <w:rPr>
                              <w:rFonts w:ascii="Arial MT" w:hAnsi="Arial MT"/>
                              <w:color w:val="A6A6A6"/>
                              <w:spacing w:val="-5"/>
                              <w:sz w:val="11"/>
                            </w:rPr>
                            <w:t> </w:t>
                          </w:r>
                          <w:r>
                            <w:rPr>
                              <w:rFonts w:ascii="Arial MT" w:hAnsi="Arial MT"/>
                              <w:color w:val="A6A6A6"/>
                              <w:sz w:val="11"/>
                            </w:rPr>
                            <w:t>simples</w:t>
                          </w:r>
                          <w:r>
                            <w:rPr>
                              <w:rFonts w:ascii="Arial MT" w:hAnsi="Arial MT"/>
                              <w:color w:val="A6A6A6"/>
                              <w:spacing w:val="-5"/>
                              <w:sz w:val="11"/>
                            </w:rPr>
                            <w:t> </w:t>
                          </w:r>
                          <w:r>
                            <w:rPr>
                              <w:rFonts w:ascii="Arial MT" w:hAnsi="Arial MT"/>
                              <w:color w:val="A6A6A6"/>
                              <w:sz w:val="11"/>
                            </w:rPr>
                            <w:t>brasileira,</w:t>
                          </w:r>
                          <w:r>
                            <w:rPr>
                              <w:rFonts w:ascii="Arial MT" w:hAnsi="Arial MT"/>
                              <w:color w:val="A6A6A6"/>
                              <w:spacing w:val="-5"/>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responsabilidade limitada e firma-membro da organização global KPMG de</w:t>
                          </w:r>
                          <w:r>
                            <w:rPr>
                              <w:rFonts w:ascii="Arial MT" w:hAnsi="Arial MT"/>
                              <w:color w:val="A6A6A6"/>
                              <w:spacing w:val="40"/>
                              <w:sz w:val="11"/>
                            </w:rPr>
                            <w:t> </w:t>
                          </w:r>
                          <w:r>
                            <w:rPr>
                              <w:rFonts w:ascii="Arial MT" w:hAnsi="Arial MT"/>
                              <w:color w:val="A6A6A6"/>
                              <w:sz w:val="11"/>
                            </w:rPr>
                            <w:t>firmas-membro independentes licenciadas da KPMG International Limited,</w:t>
                          </w:r>
                          <w:r>
                            <w:rPr>
                              <w:rFonts w:ascii="Arial MT" w:hAnsi="Arial MT"/>
                              <w:color w:val="A6A6A6"/>
                              <w:spacing w:val="40"/>
                              <w:sz w:val="11"/>
                            </w:rPr>
                            <w:t> </w:t>
                          </w:r>
                          <w:r>
                            <w:rPr>
                              <w:rFonts w:ascii="Arial MT" w:hAnsi="Arial MT"/>
                              <w:color w:val="A6A6A6"/>
                              <w:sz w:val="11"/>
                            </w:rPr>
                            <w:t>uma empresa inglesa privada de responsabilidade limitada.</w:t>
                          </w:r>
                        </w:p>
                      </w:txbxContent>
                    </wps:txbx>
                    <wps:bodyPr wrap="square" lIns="0" tIns="0" rIns="0" bIns="0" rtlCol="0">
                      <a:noAutofit/>
                    </wps:bodyPr>
                  </wps:wsp>
                </a:graphicData>
              </a:graphic>
            </wp:anchor>
          </w:drawing>
        </mc:Choice>
        <mc:Fallback>
          <w:pict>
            <v:shape style="position:absolute;margin-left:72.019997pt;margin-top:762.422485pt;width:188.2pt;height:27.2pt;mso-position-horizontal-relative:page;mso-position-vertical-relative:page;z-index:-17729024" type="#_x0000_t202" id="docshape5" filled="false" stroked="false">
              <v:textbox inset="0,0,0,0">
                <w:txbxContent>
                  <w:p>
                    <w:pPr>
                      <w:spacing w:before="16"/>
                      <w:ind w:left="20" w:right="18" w:firstLine="0"/>
                      <w:jc w:val="left"/>
                      <w:rPr>
                        <w:rFonts w:ascii="Arial MT" w:hAnsi="Arial MT"/>
                        <w:sz w:val="11"/>
                      </w:rPr>
                    </w:pPr>
                    <w:r>
                      <w:rPr>
                        <w:rFonts w:ascii="Arial MT" w:hAnsi="Arial MT"/>
                        <w:color w:val="A6A6A6"/>
                        <w:sz w:val="11"/>
                      </w:rPr>
                      <w:t>KPMG</w:t>
                    </w:r>
                    <w:r>
                      <w:rPr>
                        <w:rFonts w:ascii="Arial MT" w:hAnsi="Arial MT"/>
                        <w:color w:val="A6A6A6"/>
                        <w:spacing w:val="-5"/>
                        <w:sz w:val="11"/>
                      </w:rPr>
                      <w:t> </w:t>
                    </w:r>
                    <w:r>
                      <w:rPr>
                        <w:rFonts w:ascii="Arial MT" w:hAnsi="Arial MT"/>
                        <w:color w:val="A6A6A6"/>
                        <w:sz w:val="11"/>
                      </w:rPr>
                      <w:t>Auditores</w:t>
                    </w:r>
                    <w:r>
                      <w:rPr>
                        <w:rFonts w:ascii="Arial MT" w:hAnsi="Arial MT"/>
                        <w:color w:val="A6A6A6"/>
                        <w:spacing w:val="-6"/>
                        <w:sz w:val="11"/>
                      </w:rPr>
                      <w:t> </w:t>
                    </w:r>
                    <w:r>
                      <w:rPr>
                        <w:rFonts w:ascii="Arial MT" w:hAnsi="Arial MT"/>
                        <w:color w:val="A6A6A6"/>
                        <w:sz w:val="11"/>
                      </w:rPr>
                      <w:t>Independentes</w:t>
                    </w:r>
                    <w:r>
                      <w:rPr>
                        <w:rFonts w:ascii="Arial MT" w:hAnsi="Arial MT"/>
                        <w:color w:val="A6A6A6"/>
                        <w:spacing w:val="-5"/>
                        <w:sz w:val="11"/>
                      </w:rPr>
                      <w:t> </w:t>
                    </w:r>
                    <w:r>
                      <w:rPr>
                        <w:rFonts w:ascii="Arial MT" w:hAnsi="Arial MT"/>
                        <w:color w:val="A6A6A6"/>
                        <w:sz w:val="11"/>
                      </w:rPr>
                      <w:t>Ltda.,</w:t>
                    </w:r>
                    <w:r>
                      <w:rPr>
                        <w:rFonts w:ascii="Arial MT" w:hAnsi="Arial MT"/>
                        <w:color w:val="A6A6A6"/>
                        <w:spacing w:val="-5"/>
                        <w:sz w:val="11"/>
                      </w:rPr>
                      <w:t> </w:t>
                    </w:r>
                    <w:r>
                      <w:rPr>
                        <w:rFonts w:ascii="Arial MT" w:hAnsi="Arial MT"/>
                        <w:color w:val="A6A6A6"/>
                        <w:sz w:val="11"/>
                      </w:rPr>
                      <w:t>uma</w:t>
                    </w:r>
                    <w:r>
                      <w:rPr>
                        <w:rFonts w:ascii="Arial MT" w:hAnsi="Arial MT"/>
                        <w:color w:val="A6A6A6"/>
                        <w:spacing w:val="-6"/>
                        <w:sz w:val="11"/>
                      </w:rPr>
                      <w:t> </w:t>
                    </w:r>
                    <w:r>
                      <w:rPr>
                        <w:rFonts w:ascii="Arial MT" w:hAnsi="Arial MT"/>
                        <w:color w:val="A6A6A6"/>
                        <w:sz w:val="11"/>
                      </w:rPr>
                      <w:t>sociedade</w:t>
                    </w:r>
                    <w:r>
                      <w:rPr>
                        <w:rFonts w:ascii="Arial MT" w:hAnsi="Arial MT"/>
                        <w:color w:val="A6A6A6"/>
                        <w:spacing w:val="-5"/>
                        <w:sz w:val="11"/>
                      </w:rPr>
                      <w:t> </w:t>
                    </w:r>
                    <w:r>
                      <w:rPr>
                        <w:rFonts w:ascii="Arial MT" w:hAnsi="Arial MT"/>
                        <w:color w:val="A6A6A6"/>
                        <w:sz w:val="11"/>
                      </w:rPr>
                      <w:t>simples</w:t>
                    </w:r>
                    <w:r>
                      <w:rPr>
                        <w:rFonts w:ascii="Arial MT" w:hAnsi="Arial MT"/>
                        <w:color w:val="A6A6A6"/>
                        <w:spacing w:val="-5"/>
                        <w:sz w:val="11"/>
                      </w:rPr>
                      <w:t> </w:t>
                    </w:r>
                    <w:r>
                      <w:rPr>
                        <w:rFonts w:ascii="Arial MT" w:hAnsi="Arial MT"/>
                        <w:color w:val="A6A6A6"/>
                        <w:sz w:val="11"/>
                      </w:rPr>
                      <w:t>brasileira,</w:t>
                    </w:r>
                    <w:r>
                      <w:rPr>
                        <w:rFonts w:ascii="Arial MT" w:hAnsi="Arial MT"/>
                        <w:color w:val="A6A6A6"/>
                        <w:spacing w:val="-5"/>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responsabilidade limitada e firma-membro da organização global KPMG de</w:t>
                    </w:r>
                    <w:r>
                      <w:rPr>
                        <w:rFonts w:ascii="Arial MT" w:hAnsi="Arial MT"/>
                        <w:color w:val="A6A6A6"/>
                        <w:spacing w:val="40"/>
                        <w:sz w:val="11"/>
                      </w:rPr>
                      <w:t> </w:t>
                    </w:r>
                    <w:r>
                      <w:rPr>
                        <w:rFonts w:ascii="Arial MT" w:hAnsi="Arial MT"/>
                        <w:color w:val="A6A6A6"/>
                        <w:sz w:val="11"/>
                      </w:rPr>
                      <w:t>firmas-membro independentes licenciadas da KPMG International Limited,</w:t>
                    </w:r>
                    <w:r>
                      <w:rPr>
                        <w:rFonts w:ascii="Arial MT" w:hAnsi="Arial MT"/>
                        <w:color w:val="A6A6A6"/>
                        <w:spacing w:val="40"/>
                        <w:sz w:val="11"/>
                      </w:rPr>
                      <w:t> </w:t>
                    </w:r>
                    <w:r>
                      <w:rPr>
                        <w:rFonts w:ascii="Arial MT" w:hAnsi="Arial MT"/>
                        <w:color w:val="A6A6A6"/>
                        <w:sz w:val="11"/>
                      </w:rPr>
                      <w:t>uma empresa inglesa privada de responsabilidade limitada.</w:t>
                    </w:r>
                  </w:p>
                </w:txbxContent>
              </v:textbox>
              <w10:wrap type="none"/>
            </v:shape>
          </w:pict>
        </mc:Fallback>
      </mc:AlternateContent>
    </w:r>
    <w:r>
      <w:rPr/>
      <mc:AlternateContent>
        <mc:Choice Requires="wps">
          <w:drawing>
            <wp:anchor distT="0" distB="0" distL="0" distR="0" allowOverlap="1" layoutInCell="1" locked="0" behindDoc="1" simplePos="0" relativeHeight="485587968">
              <wp:simplePos x="0" y="0"/>
              <wp:positionH relativeFrom="page">
                <wp:posOffset>3592325</wp:posOffset>
              </wp:positionH>
              <wp:positionV relativeFrom="page">
                <wp:posOffset>9682765</wp:posOffset>
              </wp:positionV>
              <wp:extent cx="2393315" cy="34544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2393315" cy="345440"/>
                      </a:xfrm>
                      <a:prstGeom prst="rect">
                        <a:avLst/>
                      </a:prstGeom>
                    </wps:spPr>
                    <wps:txbx>
                      <w:txbxContent>
                        <w:p>
                          <w:pPr>
                            <w:spacing w:before="16"/>
                            <w:ind w:left="20" w:right="18" w:firstLine="0"/>
                            <w:jc w:val="left"/>
                            <w:rPr>
                              <w:rFonts w:ascii="Arial"/>
                              <w:i/>
                              <w:sz w:val="11"/>
                            </w:rPr>
                          </w:pPr>
                          <w:r>
                            <w:rPr>
                              <w:rFonts w:ascii="Arial"/>
                              <w:i/>
                              <w:color w:val="A6A6A6"/>
                              <w:sz w:val="11"/>
                            </w:rPr>
                            <w:t>KPMG Auditores Independentes Ltda., a Brazilian limited liability company</w:t>
                          </w:r>
                          <w:r>
                            <w:rPr>
                              <w:rFonts w:ascii="Arial"/>
                              <w:i/>
                              <w:color w:val="A6A6A6"/>
                              <w:spacing w:val="40"/>
                              <w:sz w:val="11"/>
                            </w:rPr>
                            <w:t> </w:t>
                          </w:r>
                          <w:r>
                            <w:rPr>
                              <w:rFonts w:ascii="Arial"/>
                              <w:i/>
                              <w:color w:val="A6A6A6"/>
                              <w:sz w:val="11"/>
                            </w:rPr>
                            <w:t>and</w:t>
                          </w:r>
                          <w:r>
                            <w:rPr>
                              <w:rFonts w:ascii="Arial"/>
                              <w:i/>
                              <w:color w:val="A6A6A6"/>
                              <w:spacing w:val="-4"/>
                              <w:sz w:val="11"/>
                            </w:rPr>
                            <w:t> </w:t>
                          </w:r>
                          <w:r>
                            <w:rPr>
                              <w:rFonts w:ascii="Arial"/>
                              <w:i/>
                              <w:color w:val="A6A6A6"/>
                              <w:sz w:val="11"/>
                            </w:rPr>
                            <w:t>a</w:t>
                          </w:r>
                          <w:r>
                            <w:rPr>
                              <w:rFonts w:ascii="Arial"/>
                              <w:i/>
                              <w:color w:val="A6A6A6"/>
                              <w:spacing w:val="-5"/>
                              <w:sz w:val="11"/>
                            </w:rPr>
                            <w:t> </w:t>
                          </w:r>
                          <w:r>
                            <w:rPr>
                              <w:rFonts w:ascii="Arial"/>
                              <w:i/>
                              <w:color w:val="A6A6A6"/>
                              <w:sz w:val="11"/>
                            </w:rPr>
                            <w:t>member</w:t>
                          </w:r>
                          <w:r>
                            <w:rPr>
                              <w:rFonts w:ascii="Arial"/>
                              <w:i/>
                              <w:color w:val="A6A6A6"/>
                              <w:spacing w:val="-5"/>
                              <w:sz w:val="11"/>
                            </w:rPr>
                            <w:t> </w:t>
                          </w:r>
                          <w:r>
                            <w:rPr>
                              <w:rFonts w:ascii="Arial"/>
                              <w:i/>
                              <w:color w:val="A6A6A6"/>
                              <w:sz w:val="11"/>
                            </w:rPr>
                            <w:t>firm</w:t>
                          </w:r>
                          <w:r>
                            <w:rPr>
                              <w:rFonts w:ascii="Arial"/>
                              <w:i/>
                              <w:color w:val="A6A6A6"/>
                              <w:spacing w:val="-3"/>
                              <w:sz w:val="11"/>
                            </w:rPr>
                            <w:t> </w:t>
                          </w:r>
                          <w:r>
                            <w:rPr>
                              <w:rFonts w:ascii="Arial"/>
                              <w:i/>
                              <w:color w:val="A6A6A6"/>
                              <w:sz w:val="11"/>
                            </w:rPr>
                            <w:t>of</w:t>
                          </w:r>
                          <w:r>
                            <w:rPr>
                              <w:rFonts w:ascii="Arial"/>
                              <w:i/>
                              <w:color w:val="A6A6A6"/>
                              <w:spacing w:val="-4"/>
                              <w:sz w:val="11"/>
                            </w:rPr>
                            <w:t> </w:t>
                          </w:r>
                          <w:r>
                            <w:rPr>
                              <w:rFonts w:ascii="Arial"/>
                              <w:i/>
                              <w:color w:val="A6A6A6"/>
                              <w:sz w:val="11"/>
                            </w:rPr>
                            <w:t>the</w:t>
                          </w:r>
                          <w:r>
                            <w:rPr>
                              <w:rFonts w:ascii="Arial"/>
                              <w:i/>
                              <w:color w:val="A6A6A6"/>
                              <w:spacing w:val="-4"/>
                              <w:sz w:val="11"/>
                            </w:rPr>
                            <w:t> </w:t>
                          </w:r>
                          <w:r>
                            <w:rPr>
                              <w:rFonts w:ascii="Arial"/>
                              <w:i/>
                              <w:color w:val="A6A6A6"/>
                              <w:sz w:val="11"/>
                            </w:rPr>
                            <w:t>KPMG</w:t>
                          </w:r>
                          <w:r>
                            <w:rPr>
                              <w:rFonts w:ascii="Arial"/>
                              <w:i/>
                              <w:color w:val="A6A6A6"/>
                              <w:spacing w:val="-3"/>
                              <w:sz w:val="11"/>
                            </w:rPr>
                            <w:t> </w:t>
                          </w:r>
                          <w:r>
                            <w:rPr>
                              <w:rFonts w:ascii="Arial"/>
                              <w:i/>
                              <w:color w:val="A6A6A6"/>
                              <w:sz w:val="11"/>
                            </w:rPr>
                            <w:t>global</w:t>
                          </w:r>
                          <w:r>
                            <w:rPr>
                              <w:rFonts w:ascii="Arial"/>
                              <w:i/>
                              <w:color w:val="A6A6A6"/>
                              <w:spacing w:val="-4"/>
                              <w:sz w:val="11"/>
                            </w:rPr>
                            <w:t> </w:t>
                          </w:r>
                          <w:r>
                            <w:rPr>
                              <w:rFonts w:ascii="Arial"/>
                              <w:i/>
                              <w:color w:val="A6A6A6"/>
                              <w:sz w:val="11"/>
                            </w:rPr>
                            <w:t>organization</w:t>
                          </w:r>
                          <w:r>
                            <w:rPr>
                              <w:rFonts w:ascii="Arial"/>
                              <w:i/>
                              <w:color w:val="A6A6A6"/>
                              <w:spacing w:val="-4"/>
                              <w:sz w:val="11"/>
                            </w:rPr>
                            <w:t> </w:t>
                          </w:r>
                          <w:r>
                            <w:rPr>
                              <w:rFonts w:ascii="Arial"/>
                              <w:i/>
                              <w:color w:val="A6A6A6"/>
                              <w:sz w:val="11"/>
                            </w:rPr>
                            <w:t>of</w:t>
                          </w:r>
                          <w:r>
                            <w:rPr>
                              <w:rFonts w:ascii="Arial"/>
                              <w:i/>
                              <w:color w:val="A6A6A6"/>
                              <w:spacing w:val="-3"/>
                              <w:sz w:val="11"/>
                            </w:rPr>
                            <w:t> </w:t>
                          </w:r>
                          <w:r>
                            <w:rPr>
                              <w:rFonts w:ascii="Arial"/>
                              <w:i/>
                              <w:color w:val="A6A6A6"/>
                              <w:sz w:val="11"/>
                            </w:rPr>
                            <w:t>independent</w:t>
                          </w:r>
                          <w:r>
                            <w:rPr>
                              <w:rFonts w:ascii="Arial"/>
                              <w:i/>
                              <w:color w:val="A6A6A6"/>
                              <w:spacing w:val="-4"/>
                              <w:sz w:val="11"/>
                            </w:rPr>
                            <w:t> </w:t>
                          </w:r>
                          <w:r>
                            <w:rPr>
                              <w:rFonts w:ascii="Arial"/>
                              <w:i/>
                              <w:color w:val="A6A6A6"/>
                              <w:sz w:val="11"/>
                            </w:rPr>
                            <w:t>member</w:t>
                          </w:r>
                          <w:r>
                            <w:rPr>
                              <w:rFonts w:ascii="Arial"/>
                              <w:i/>
                              <w:color w:val="A6A6A6"/>
                              <w:spacing w:val="40"/>
                              <w:sz w:val="11"/>
                            </w:rPr>
                            <w:t> </w:t>
                          </w:r>
                          <w:r>
                            <w:rPr>
                              <w:rFonts w:ascii="Arial"/>
                              <w:i/>
                              <w:color w:val="A6A6A6"/>
                              <w:sz w:val="11"/>
                            </w:rPr>
                            <w:t>firms affiliated with KPMG International Limited, a private English company</w:t>
                          </w:r>
                          <w:r>
                            <w:rPr>
                              <w:rFonts w:ascii="Arial"/>
                              <w:i/>
                              <w:color w:val="A6A6A6"/>
                              <w:spacing w:val="40"/>
                              <w:sz w:val="11"/>
                            </w:rPr>
                            <w:t> </w:t>
                          </w:r>
                          <w:r>
                            <w:rPr>
                              <w:rFonts w:ascii="Arial"/>
                              <w:i/>
                              <w:color w:val="A6A6A6"/>
                              <w:sz w:val="11"/>
                            </w:rPr>
                            <w:t>limited by guarantee.</w:t>
                          </w:r>
                        </w:p>
                      </w:txbxContent>
                    </wps:txbx>
                    <wps:bodyPr wrap="square" lIns="0" tIns="0" rIns="0" bIns="0" rtlCol="0">
                      <a:noAutofit/>
                    </wps:bodyPr>
                  </wps:wsp>
                </a:graphicData>
              </a:graphic>
            </wp:anchor>
          </w:drawing>
        </mc:Choice>
        <mc:Fallback>
          <w:pict>
            <v:shape style="position:absolute;margin-left:282.86026pt;margin-top:762.422485pt;width:188.45pt;height:27.2pt;mso-position-horizontal-relative:page;mso-position-vertical-relative:page;z-index:-17728512" type="#_x0000_t202" id="docshape6" filled="false" stroked="false">
              <v:textbox inset="0,0,0,0">
                <w:txbxContent>
                  <w:p>
                    <w:pPr>
                      <w:spacing w:before="16"/>
                      <w:ind w:left="20" w:right="18" w:firstLine="0"/>
                      <w:jc w:val="left"/>
                      <w:rPr>
                        <w:rFonts w:ascii="Arial"/>
                        <w:i/>
                        <w:sz w:val="11"/>
                      </w:rPr>
                    </w:pPr>
                    <w:r>
                      <w:rPr>
                        <w:rFonts w:ascii="Arial"/>
                        <w:i/>
                        <w:color w:val="A6A6A6"/>
                        <w:sz w:val="11"/>
                      </w:rPr>
                      <w:t>KPMG Auditores Independentes Ltda., a Brazilian limited liability company</w:t>
                    </w:r>
                    <w:r>
                      <w:rPr>
                        <w:rFonts w:ascii="Arial"/>
                        <w:i/>
                        <w:color w:val="A6A6A6"/>
                        <w:spacing w:val="40"/>
                        <w:sz w:val="11"/>
                      </w:rPr>
                      <w:t> </w:t>
                    </w:r>
                    <w:r>
                      <w:rPr>
                        <w:rFonts w:ascii="Arial"/>
                        <w:i/>
                        <w:color w:val="A6A6A6"/>
                        <w:sz w:val="11"/>
                      </w:rPr>
                      <w:t>and</w:t>
                    </w:r>
                    <w:r>
                      <w:rPr>
                        <w:rFonts w:ascii="Arial"/>
                        <w:i/>
                        <w:color w:val="A6A6A6"/>
                        <w:spacing w:val="-4"/>
                        <w:sz w:val="11"/>
                      </w:rPr>
                      <w:t> </w:t>
                    </w:r>
                    <w:r>
                      <w:rPr>
                        <w:rFonts w:ascii="Arial"/>
                        <w:i/>
                        <w:color w:val="A6A6A6"/>
                        <w:sz w:val="11"/>
                      </w:rPr>
                      <w:t>a</w:t>
                    </w:r>
                    <w:r>
                      <w:rPr>
                        <w:rFonts w:ascii="Arial"/>
                        <w:i/>
                        <w:color w:val="A6A6A6"/>
                        <w:spacing w:val="-5"/>
                        <w:sz w:val="11"/>
                      </w:rPr>
                      <w:t> </w:t>
                    </w:r>
                    <w:r>
                      <w:rPr>
                        <w:rFonts w:ascii="Arial"/>
                        <w:i/>
                        <w:color w:val="A6A6A6"/>
                        <w:sz w:val="11"/>
                      </w:rPr>
                      <w:t>member</w:t>
                    </w:r>
                    <w:r>
                      <w:rPr>
                        <w:rFonts w:ascii="Arial"/>
                        <w:i/>
                        <w:color w:val="A6A6A6"/>
                        <w:spacing w:val="-5"/>
                        <w:sz w:val="11"/>
                      </w:rPr>
                      <w:t> </w:t>
                    </w:r>
                    <w:r>
                      <w:rPr>
                        <w:rFonts w:ascii="Arial"/>
                        <w:i/>
                        <w:color w:val="A6A6A6"/>
                        <w:sz w:val="11"/>
                      </w:rPr>
                      <w:t>firm</w:t>
                    </w:r>
                    <w:r>
                      <w:rPr>
                        <w:rFonts w:ascii="Arial"/>
                        <w:i/>
                        <w:color w:val="A6A6A6"/>
                        <w:spacing w:val="-3"/>
                        <w:sz w:val="11"/>
                      </w:rPr>
                      <w:t> </w:t>
                    </w:r>
                    <w:r>
                      <w:rPr>
                        <w:rFonts w:ascii="Arial"/>
                        <w:i/>
                        <w:color w:val="A6A6A6"/>
                        <w:sz w:val="11"/>
                      </w:rPr>
                      <w:t>of</w:t>
                    </w:r>
                    <w:r>
                      <w:rPr>
                        <w:rFonts w:ascii="Arial"/>
                        <w:i/>
                        <w:color w:val="A6A6A6"/>
                        <w:spacing w:val="-4"/>
                        <w:sz w:val="11"/>
                      </w:rPr>
                      <w:t> </w:t>
                    </w:r>
                    <w:r>
                      <w:rPr>
                        <w:rFonts w:ascii="Arial"/>
                        <w:i/>
                        <w:color w:val="A6A6A6"/>
                        <w:sz w:val="11"/>
                      </w:rPr>
                      <w:t>the</w:t>
                    </w:r>
                    <w:r>
                      <w:rPr>
                        <w:rFonts w:ascii="Arial"/>
                        <w:i/>
                        <w:color w:val="A6A6A6"/>
                        <w:spacing w:val="-4"/>
                        <w:sz w:val="11"/>
                      </w:rPr>
                      <w:t> </w:t>
                    </w:r>
                    <w:r>
                      <w:rPr>
                        <w:rFonts w:ascii="Arial"/>
                        <w:i/>
                        <w:color w:val="A6A6A6"/>
                        <w:sz w:val="11"/>
                      </w:rPr>
                      <w:t>KPMG</w:t>
                    </w:r>
                    <w:r>
                      <w:rPr>
                        <w:rFonts w:ascii="Arial"/>
                        <w:i/>
                        <w:color w:val="A6A6A6"/>
                        <w:spacing w:val="-3"/>
                        <w:sz w:val="11"/>
                      </w:rPr>
                      <w:t> </w:t>
                    </w:r>
                    <w:r>
                      <w:rPr>
                        <w:rFonts w:ascii="Arial"/>
                        <w:i/>
                        <w:color w:val="A6A6A6"/>
                        <w:sz w:val="11"/>
                      </w:rPr>
                      <w:t>global</w:t>
                    </w:r>
                    <w:r>
                      <w:rPr>
                        <w:rFonts w:ascii="Arial"/>
                        <w:i/>
                        <w:color w:val="A6A6A6"/>
                        <w:spacing w:val="-4"/>
                        <w:sz w:val="11"/>
                      </w:rPr>
                      <w:t> </w:t>
                    </w:r>
                    <w:r>
                      <w:rPr>
                        <w:rFonts w:ascii="Arial"/>
                        <w:i/>
                        <w:color w:val="A6A6A6"/>
                        <w:sz w:val="11"/>
                      </w:rPr>
                      <w:t>organization</w:t>
                    </w:r>
                    <w:r>
                      <w:rPr>
                        <w:rFonts w:ascii="Arial"/>
                        <w:i/>
                        <w:color w:val="A6A6A6"/>
                        <w:spacing w:val="-4"/>
                        <w:sz w:val="11"/>
                      </w:rPr>
                      <w:t> </w:t>
                    </w:r>
                    <w:r>
                      <w:rPr>
                        <w:rFonts w:ascii="Arial"/>
                        <w:i/>
                        <w:color w:val="A6A6A6"/>
                        <w:sz w:val="11"/>
                      </w:rPr>
                      <w:t>of</w:t>
                    </w:r>
                    <w:r>
                      <w:rPr>
                        <w:rFonts w:ascii="Arial"/>
                        <w:i/>
                        <w:color w:val="A6A6A6"/>
                        <w:spacing w:val="-3"/>
                        <w:sz w:val="11"/>
                      </w:rPr>
                      <w:t> </w:t>
                    </w:r>
                    <w:r>
                      <w:rPr>
                        <w:rFonts w:ascii="Arial"/>
                        <w:i/>
                        <w:color w:val="A6A6A6"/>
                        <w:sz w:val="11"/>
                      </w:rPr>
                      <w:t>independent</w:t>
                    </w:r>
                    <w:r>
                      <w:rPr>
                        <w:rFonts w:ascii="Arial"/>
                        <w:i/>
                        <w:color w:val="A6A6A6"/>
                        <w:spacing w:val="-4"/>
                        <w:sz w:val="11"/>
                      </w:rPr>
                      <w:t> </w:t>
                    </w:r>
                    <w:r>
                      <w:rPr>
                        <w:rFonts w:ascii="Arial"/>
                        <w:i/>
                        <w:color w:val="A6A6A6"/>
                        <w:sz w:val="11"/>
                      </w:rPr>
                      <w:t>member</w:t>
                    </w:r>
                    <w:r>
                      <w:rPr>
                        <w:rFonts w:ascii="Arial"/>
                        <w:i/>
                        <w:color w:val="A6A6A6"/>
                        <w:spacing w:val="40"/>
                        <w:sz w:val="11"/>
                      </w:rPr>
                      <w:t> </w:t>
                    </w:r>
                    <w:r>
                      <w:rPr>
                        <w:rFonts w:ascii="Arial"/>
                        <w:i/>
                        <w:color w:val="A6A6A6"/>
                        <w:sz w:val="11"/>
                      </w:rPr>
                      <w:t>firms affiliated with KPMG International Limited, a private English company</w:t>
                    </w:r>
                    <w:r>
                      <w:rPr>
                        <w:rFonts w:ascii="Arial"/>
                        <w:i/>
                        <w:color w:val="A6A6A6"/>
                        <w:spacing w:val="40"/>
                        <w:sz w:val="11"/>
                      </w:rPr>
                      <w:t> </w:t>
                    </w:r>
                    <w:r>
                      <w:rPr>
                        <w:rFonts w:ascii="Arial"/>
                        <w:i/>
                        <w:color w:val="A6A6A6"/>
                        <w:sz w:val="11"/>
                      </w:rPr>
                      <w:t>limited by guarantee.</w:t>
                    </w:r>
                  </w:p>
                </w:txbxContent>
              </v:textbox>
              <w10:wrap type="none"/>
            </v:shape>
          </w:pict>
        </mc:Fallback>
      </mc:AlternateContent>
    </w:r>
    <w:r>
      <w:rPr/>
      <mc:AlternateContent>
        <mc:Choice Requires="wps">
          <w:drawing>
            <wp:anchor distT="0" distB="0" distL="0" distR="0" allowOverlap="1" layoutInCell="1" locked="0" behindDoc="1" simplePos="0" relativeHeight="485588480">
              <wp:simplePos x="0" y="0"/>
              <wp:positionH relativeFrom="page">
                <wp:posOffset>901700</wp:posOffset>
              </wp:positionH>
              <wp:positionV relativeFrom="page">
                <wp:posOffset>10143041</wp:posOffset>
              </wp:positionV>
              <wp:extent cx="90170" cy="153035"/>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90170" cy="153035"/>
                      </a:xfrm>
                      <a:prstGeom prst="rect">
                        <a:avLst/>
                      </a:prstGeom>
                    </wps:spPr>
                    <wps:txbx>
                      <w:txbxContent>
                        <w:p>
                          <w:pPr>
                            <w:spacing w:line="224" w:lineRule="exact" w:before="0"/>
                            <w:ind w:left="20" w:right="0" w:firstLine="0"/>
                            <w:jc w:val="left"/>
                            <w:rPr>
                              <w:sz w:val="20"/>
                            </w:rPr>
                          </w:pPr>
                          <w:r>
                            <w:rPr>
                              <w:spacing w:val="-10"/>
                              <w:sz w:val="20"/>
                            </w:rPr>
                            <w:t>8</w:t>
                          </w:r>
                        </w:p>
                      </w:txbxContent>
                    </wps:txbx>
                    <wps:bodyPr wrap="square" lIns="0" tIns="0" rIns="0" bIns="0" rtlCol="0">
                      <a:noAutofit/>
                    </wps:bodyPr>
                  </wps:wsp>
                </a:graphicData>
              </a:graphic>
            </wp:anchor>
          </w:drawing>
        </mc:Choice>
        <mc:Fallback>
          <w:pict>
            <v:shape style="position:absolute;margin-left:71pt;margin-top:798.664673pt;width:7.1pt;height:12.05pt;mso-position-horizontal-relative:page;mso-position-vertical-relative:page;z-index:-17728000" type="#_x0000_t202" id="docshape7" filled="false" stroked="false">
              <v:textbox inset="0,0,0,0">
                <w:txbxContent>
                  <w:p>
                    <w:pPr>
                      <w:spacing w:line="224" w:lineRule="exact" w:before="0"/>
                      <w:ind w:left="20" w:right="0" w:firstLine="0"/>
                      <w:jc w:val="left"/>
                      <w:rPr>
                        <w:sz w:val="20"/>
                      </w:rPr>
                    </w:pPr>
                    <w:r>
                      <w:rPr>
                        <w:spacing w:val="-10"/>
                        <w:sz w:val="20"/>
                      </w:rPr>
                      <w:t>8</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88992">
              <wp:simplePos x="0" y="0"/>
              <wp:positionH relativeFrom="page">
                <wp:posOffset>913916</wp:posOffset>
              </wp:positionH>
              <wp:positionV relativeFrom="page">
                <wp:posOffset>9561587</wp:posOffset>
              </wp:positionV>
              <wp:extent cx="2368550" cy="357505"/>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2368550" cy="357505"/>
                      </a:xfrm>
                      <a:prstGeom prst="rect">
                        <a:avLst/>
                      </a:prstGeom>
                    </wps:spPr>
                    <wps:txbx>
                      <w:txbxContent>
                        <w:p>
                          <w:pPr>
                            <w:spacing w:line="259" w:lineRule="auto" w:before="16"/>
                            <w:ind w:left="21" w:right="18" w:hanging="2"/>
                            <w:jc w:val="both"/>
                            <w:rPr>
                              <w:rFonts w:ascii="Arial MT" w:hAnsi="Arial MT"/>
                              <w:sz w:val="11"/>
                            </w:rPr>
                          </w:pPr>
                          <w:r>
                            <w:rPr>
                              <w:rFonts w:ascii="Arial MT" w:hAnsi="Arial MT"/>
                              <w:color w:val="A6A6A6"/>
                              <w:sz w:val="11"/>
                            </w:rPr>
                            <w:t>KPMG</w:t>
                          </w:r>
                          <w:r>
                            <w:rPr>
                              <w:rFonts w:ascii="Arial MT" w:hAnsi="Arial MT"/>
                              <w:color w:val="A6A6A6"/>
                              <w:spacing w:val="-8"/>
                              <w:sz w:val="11"/>
                            </w:rPr>
                            <w:t> </w:t>
                          </w:r>
                          <w:r>
                            <w:rPr>
                              <w:rFonts w:ascii="Arial MT" w:hAnsi="Arial MT"/>
                              <w:color w:val="A6A6A6"/>
                              <w:sz w:val="11"/>
                            </w:rPr>
                            <w:t>Auditores</w:t>
                          </w:r>
                          <w:r>
                            <w:rPr>
                              <w:rFonts w:ascii="Arial MT" w:hAnsi="Arial MT"/>
                              <w:color w:val="A6A6A6"/>
                              <w:spacing w:val="-8"/>
                              <w:sz w:val="11"/>
                            </w:rPr>
                            <w:t> </w:t>
                          </w:r>
                          <w:r>
                            <w:rPr>
                              <w:rFonts w:ascii="Arial MT" w:hAnsi="Arial MT"/>
                              <w:color w:val="A6A6A6"/>
                              <w:sz w:val="11"/>
                            </w:rPr>
                            <w:t>Independentes</w:t>
                          </w:r>
                          <w:r>
                            <w:rPr>
                              <w:rFonts w:ascii="Arial MT" w:hAnsi="Arial MT"/>
                              <w:color w:val="A6A6A6"/>
                              <w:spacing w:val="-7"/>
                              <w:sz w:val="11"/>
                            </w:rPr>
                            <w:t> </w:t>
                          </w:r>
                          <w:r>
                            <w:rPr>
                              <w:rFonts w:ascii="Arial MT" w:hAnsi="Arial MT"/>
                              <w:color w:val="A6A6A6"/>
                              <w:sz w:val="11"/>
                            </w:rPr>
                            <w:t>Ltda.,</w:t>
                          </w:r>
                          <w:r>
                            <w:rPr>
                              <w:rFonts w:ascii="Arial MT" w:hAnsi="Arial MT"/>
                              <w:color w:val="A6A6A6"/>
                              <w:spacing w:val="-8"/>
                              <w:sz w:val="11"/>
                            </w:rPr>
                            <w:t> </w:t>
                          </w:r>
                          <w:r>
                            <w:rPr>
                              <w:rFonts w:ascii="Arial MT" w:hAnsi="Arial MT"/>
                              <w:color w:val="A6A6A6"/>
                              <w:sz w:val="11"/>
                            </w:rPr>
                            <w:t>uma</w:t>
                          </w:r>
                          <w:r>
                            <w:rPr>
                              <w:rFonts w:ascii="Arial MT" w:hAnsi="Arial MT"/>
                              <w:color w:val="A6A6A6"/>
                              <w:spacing w:val="-8"/>
                              <w:sz w:val="11"/>
                            </w:rPr>
                            <w:t> </w:t>
                          </w:r>
                          <w:r>
                            <w:rPr>
                              <w:rFonts w:ascii="Arial MT" w:hAnsi="Arial MT"/>
                              <w:color w:val="A6A6A6"/>
                              <w:sz w:val="11"/>
                            </w:rPr>
                            <w:t>sociedade</w:t>
                          </w:r>
                          <w:r>
                            <w:rPr>
                              <w:rFonts w:ascii="Arial MT" w:hAnsi="Arial MT"/>
                              <w:color w:val="A6A6A6"/>
                              <w:spacing w:val="-7"/>
                              <w:sz w:val="11"/>
                            </w:rPr>
                            <w:t> </w:t>
                          </w:r>
                          <w:r>
                            <w:rPr>
                              <w:rFonts w:ascii="Arial MT" w:hAnsi="Arial MT"/>
                              <w:color w:val="A6A6A6"/>
                              <w:sz w:val="11"/>
                            </w:rPr>
                            <w:t>simples</w:t>
                          </w:r>
                          <w:r>
                            <w:rPr>
                              <w:rFonts w:ascii="Arial MT" w:hAnsi="Arial MT"/>
                              <w:color w:val="A6A6A6"/>
                              <w:spacing w:val="-8"/>
                              <w:sz w:val="11"/>
                            </w:rPr>
                            <w:t> </w:t>
                          </w:r>
                          <w:r>
                            <w:rPr>
                              <w:rFonts w:ascii="Arial MT" w:hAnsi="Arial MT"/>
                              <w:color w:val="A6A6A6"/>
                              <w:sz w:val="11"/>
                            </w:rPr>
                            <w:t>brasileira,</w:t>
                          </w:r>
                          <w:r>
                            <w:rPr>
                              <w:rFonts w:ascii="Arial MT" w:hAnsi="Arial MT"/>
                              <w:color w:val="A6A6A6"/>
                              <w:spacing w:val="-8"/>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responsabilidade</w:t>
                          </w:r>
                          <w:r>
                            <w:rPr>
                              <w:rFonts w:ascii="Arial MT" w:hAnsi="Arial MT"/>
                              <w:color w:val="A6A6A6"/>
                              <w:spacing w:val="-2"/>
                              <w:sz w:val="11"/>
                            </w:rPr>
                            <w:t> </w:t>
                          </w:r>
                          <w:r>
                            <w:rPr>
                              <w:rFonts w:ascii="Arial MT" w:hAnsi="Arial MT"/>
                              <w:color w:val="A6A6A6"/>
                              <w:sz w:val="11"/>
                            </w:rPr>
                            <w:t>limitada</w:t>
                          </w:r>
                          <w:r>
                            <w:rPr>
                              <w:rFonts w:ascii="Arial MT" w:hAnsi="Arial MT"/>
                              <w:color w:val="A6A6A6"/>
                              <w:spacing w:val="-2"/>
                              <w:sz w:val="11"/>
                            </w:rPr>
                            <w:t> </w:t>
                          </w:r>
                          <w:r>
                            <w:rPr>
                              <w:rFonts w:ascii="Arial MT" w:hAnsi="Arial MT"/>
                              <w:color w:val="A6A6A6"/>
                              <w:sz w:val="11"/>
                            </w:rPr>
                            <w:t>e</w:t>
                          </w:r>
                          <w:r>
                            <w:rPr>
                              <w:rFonts w:ascii="Arial MT" w:hAnsi="Arial MT"/>
                              <w:color w:val="A6A6A6"/>
                              <w:spacing w:val="-3"/>
                              <w:sz w:val="11"/>
                            </w:rPr>
                            <w:t> </w:t>
                          </w:r>
                          <w:r>
                            <w:rPr>
                              <w:rFonts w:ascii="Arial MT" w:hAnsi="Arial MT"/>
                              <w:color w:val="A6A6A6"/>
                              <w:sz w:val="11"/>
                            </w:rPr>
                            <w:t>firma-membro</w:t>
                          </w:r>
                          <w:r>
                            <w:rPr>
                              <w:rFonts w:ascii="Arial MT" w:hAnsi="Arial MT"/>
                              <w:color w:val="A6A6A6"/>
                              <w:spacing w:val="-2"/>
                              <w:sz w:val="11"/>
                            </w:rPr>
                            <w:t> </w:t>
                          </w:r>
                          <w:r>
                            <w:rPr>
                              <w:rFonts w:ascii="Arial MT" w:hAnsi="Arial MT"/>
                              <w:color w:val="A6A6A6"/>
                              <w:sz w:val="11"/>
                            </w:rPr>
                            <w:t>da</w:t>
                          </w:r>
                          <w:r>
                            <w:rPr>
                              <w:rFonts w:ascii="Arial MT" w:hAnsi="Arial MT"/>
                              <w:color w:val="A6A6A6"/>
                              <w:spacing w:val="-3"/>
                              <w:sz w:val="11"/>
                            </w:rPr>
                            <w:t> </w:t>
                          </w:r>
                          <w:r>
                            <w:rPr>
                              <w:rFonts w:ascii="Arial MT" w:hAnsi="Arial MT"/>
                              <w:color w:val="A6A6A6"/>
                              <w:sz w:val="11"/>
                            </w:rPr>
                            <w:t>organização</w:t>
                          </w:r>
                          <w:r>
                            <w:rPr>
                              <w:rFonts w:ascii="Arial MT" w:hAnsi="Arial MT"/>
                              <w:color w:val="A6A6A6"/>
                              <w:spacing w:val="-2"/>
                              <w:sz w:val="11"/>
                            </w:rPr>
                            <w:t> </w:t>
                          </w:r>
                          <w:r>
                            <w:rPr>
                              <w:rFonts w:ascii="Arial MT" w:hAnsi="Arial MT"/>
                              <w:color w:val="A6A6A6"/>
                              <w:sz w:val="11"/>
                            </w:rPr>
                            <w:t>global</w:t>
                          </w:r>
                          <w:r>
                            <w:rPr>
                              <w:rFonts w:ascii="Arial MT" w:hAnsi="Arial MT"/>
                              <w:color w:val="A6A6A6"/>
                              <w:spacing w:val="-2"/>
                              <w:sz w:val="11"/>
                            </w:rPr>
                            <w:t> </w:t>
                          </w:r>
                          <w:r>
                            <w:rPr>
                              <w:rFonts w:ascii="Arial MT" w:hAnsi="Arial MT"/>
                              <w:color w:val="A6A6A6"/>
                              <w:sz w:val="11"/>
                            </w:rPr>
                            <w:t>KPMG</w:t>
                          </w:r>
                          <w:r>
                            <w:rPr>
                              <w:rFonts w:ascii="Arial MT" w:hAnsi="Arial MT"/>
                              <w:color w:val="A6A6A6"/>
                              <w:spacing w:val="-1"/>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firmas-membro independentes licenciadas da KPMG International Limited,</w:t>
                          </w:r>
                        </w:p>
                        <w:p>
                          <w:pPr>
                            <w:spacing w:line="116" w:lineRule="exact" w:before="0"/>
                            <w:ind w:left="21" w:right="0" w:firstLine="0"/>
                            <w:jc w:val="both"/>
                            <w:rPr>
                              <w:rFonts w:ascii="Arial MT"/>
                              <w:sz w:val="11"/>
                            </w:rPr>
                          </w:pPr>
                          <w:r>
                            <w:rPr>
                              <w:rFonts w:ascii="Arial MT"/>
                              <w:color w:val="A6A6A6"/>
                              <w:sz w:val="11"/>
                            </w:rPr>
                            <w:t>uma</w:t>
                          </w:r>
                          <w:r>
                            <w:rPr>
                              <w:rFonts w:ascii="Arial MT"/>
                              <w:color w:val="A6A6A6"/>
                              <w:spacing w:val="-6"/>
                              <w:sz w:val="11"/>
                            </w:rPr>
                            <w:t> </w:t>
                          </w:r>
                          <w:r>
                            <w:rPr>
                              <w:rFonts w:ascii="Arial MT"/>
                              <w:color w:val="A6A6A6"/>
                              <w:sz w:val="11"/>
                            </w:rPr>
                            <w:t>empresa</w:t>
                          </w:r>
                          <w:r>
                            <w:rPr>
                              <w:rFonts w:ascii="Arial MT"/>
                              <w:color w:val="A6A6A6"/>
                              <w:spacing w:val="-6"/>
                              <w:sz w:val="11"/>
                            </w:rPr>
                            <w:t> </w:t>
                          </w:r>
                          <w:r>
                            <w:rPr>
                              <w:rFonts w:ascii="Arial MT"/>
                              <w:color w:val="A6A6A6"/>
                              <w:sz w:val="11"/>
                            </w:rPr>
                            <w:t>inglesa</w:t>
                          </w:r>
                          <w:r>
                            <w:rPr>
                              <w:rFonts w:ascii="Arial MT"/>
                              <w:color w:val="A6A6A6"/>
                              <w:spacing w:val="-5"/>
                              <w:sz w:val="11"/>
                            </w:rPr>
                            <w:t> </w:t>
                          </w:r>
                          <w:r>
                            <w:rPr>
                              <w:rFonts w:ascii="Arial MT"/>
                              <w:color w:val="A6A6A6"/>
                              <w:sz w:val="11"/>
                            </w:rPr>
                            <w:t>privada</w:t>
                          </w:r>
                          <w:r>
                            <w:rPr>
                              <w:rFonts w:ascii="Arial MT"/>
                              <w:color w:val="A6A6A6"/>
                              <w:spacing w:val="-6"/>
                              <w:sz w:val="11"/>
                            </w:rPr>
                            <w:t> </w:t>
                          </w:r>
                          <w:r>
                            <w:rPr>
                              <w:rFonts w:ascii="Arial MT"/>
                              <w:color w:val="A6A6A6"/>
                              <w:sz w:val="11"/>
                            </w:rPr>
                            <w:t>de</w:t>
                          </w:r>
                          <w:r>
                            <w:rPr>
                              <w:rFonts w:ascii="Arial MT"/>
                              <w:color w:val="A6A6A6"/>
                              <w:spacing w:val="-6"/>
                              <w:sz w:val="11"/>
                            </w:rPr>
                            <w:t> </w:t>
                          </w:r>
                          <w:r>
                            <w:rPr>
                              <w:rFonts w:ascii="Arial MT"/>
                              <w:color w:val="A6A6A6"/>
                              <w:sz w:val="11"/>
                            </w:rPr>
                            <w:t>responsabilidade</w:t>
                          </w:r>
                          <w:r>
                            <w:rPr>
                              <w:rFonts w:ascii="Arial MT"/>
                              <w:color w:val="A6A6A6"/>
                              <w:spacing w:val="-5"/>
                              <w:sz w:val="11"/>
                            </w:rPr>
                            <w:t> </w:t>
                          </w:r>
                          <w:r>
                            <w:rPr>
                              <w:rFonts w:ascii="Arial MT"/>
                              <w:color w:val="A6A6A6"/>
                              <w:spacing w:val="-2"/>
                              <w:sz w:val="11"/>
                            </w:rPr>
                            <w:t>limitada.</w:t>
                          </w:r>
                        </w:p>
                      </w:txbxContent>
                    </wps:txbx>
                    <wps:bodyPr wrap="square" lIns="0" tIns="0" rIns="0" bIns="0" rtlCol="0">
                      <a:noAutofit/>
                    </wps:bodyPr>
                  </wps:wsp>
                </a:graphicData>
              </a:graphic>
            </wp:anchor>
          </w:drawing>
        </mc:Choice>
        <mc:Fallback>
          <w:pict>
            <v:shape style="position:absolute;margin-left:71.961922pt;margin-top:752.88092pt;width:186.5pt;height:28.15pt;mso-position-horizontal-relative:page;mso-position-vertical-relative:page;z-index:-17727488" type="#_x0000_t202" id="docshape13" filled="false" stroked="false">
              <v:textbox inset="0,0,0,0">
                <w:txbxContent>
                  <w:p>
                    <w:pPr>
                      <w:spacing w:line="259" w:lineRule="auto" w:before="16"/>
                      <w:ind w:left="21" w:right="18" w:hanging="2"/>
                      <w:jc w:val="both"/>
                      <w:rPr>
                        <w:rFonts w:ascii="Arial MT" w:hAnsi="Arial MT"/>
                        <w:sz w:val="11"/>
                      </w:rPr>
                    </w:pPr>
                    <w:r>
                      <w:rPr>
                        <w:rFonts w:ascii="Arial MT" w:hAnsi="Arial MT"/>
                        <w:color w:val="A6A6A6"/>
                        <w:sz w:val="11"/>
                      </w:rPr>
                      <w:t>KPMG</w:t>
                    </w:r>
                    <w:r>
                      <w:rPr>
                        <w:rFonts w:ascii="Arial MT" w:hAnsi="Arial MT"/>
                        <w:color w:val="A6A6A6"/>
                        <w:spacing w:val="-8"/>
                        <w:sz w:val="11"/>
                      </w:rPr>
                      <w:t> </w:t>
                    </w:r>
                    <w:r>
                      <w:rPr>
                        <w:rFonts w:ascii="Arial MT" w:hAnsi="Arial MT"/>
                        <w:color w:val="A6A6A6"/>
                        <w:sz w:val="11"/>
                      </w:rPr>
                      <w:t>Auditores</w:t>
                    </w:r>
                    <w:r>
                      <w:rPr>
                        <w:rFonts w:ascii="Arial MT" w:hAnsi="Arial MT"/>
                        <w:color w:val="A6A6A6"/>
                        <w:spacing w:val="-8"/>
                        <w:sz w:val="11"/>
                      </w:rPr>
                      <w:t> </w:t>
                    </w:r>
                    <w:r>
                      <w:rPr>
                        <w:rFonts w:ascii="Arial MT" w:hAnsi="Arial MT"/>
                        <w:color w:val="A6A6A6"/>
                        <w:sz w:val="11"/>
                      </w:rPr>
                      <w:t>Independentes</w:t>
                    </w:r>
                    <w:r>
                      <w:rPr>
                        <w:rFonts w:ascii="Arial MT" w:hAnsi="Arial MT"/>
                        <w:color w:val="A6A6A6"/>
                        <w:spacing w:val="-7"/>
                        <w:sz w:val="11"/>
                      </w:rPr>
                      <w:t> </w:t>
                    </w:r>
                    <w:r>
                      <w:rPr>
                        <w:rFonts w:ascii="Arial MT" w:hAnsi="Arial MT"/>
                        <w:color w:val="A6A6A6"/>
                        <w:sz w:val="11"/>
                      </w:rPr>
                      <w:t>Ltda.,</w:t>
                    </w:r>
                    <w:r>
                      <w:rPr>
                        <w:rFonts w:ascii="Arial MT" w:hAnsi="Arial MT"/>
                        <w:color w:val="A6A6A6"/>
                        <w:spacing w:val="-8"/>
                        <w:sz w:val="11"/>
                      </w:rPr>
                      <w:t> </w:t>
                    </w:r>
                    <w:r>
                      <w:rPr>
                        <w:rFonts w:ascii="Arial MT" w:hAnsi="Arial MT"/>
                        <w:color w:val="A6A6A6"/>
                        <w:sz w:val="11"/>
                      </w:rPr>
                      <w:t>uma</w:t>
                    </w:r>
                    <w:r>
                      <w:rPr>
                        <w:rFonts w:ascii="Arial MT" w:hAnsi="Arial MT"/>
                        <w:color w:val="A6A6A6"/>
                        <w:spacing w:val="-8"/>
                        <w:sz w:val="11"/>
                      </w:rPr>
                      <w:t> </w:t>
                    </w:r>
                    <w:r>
                      <w:rPr>
                        <w:rFonts w:ascii="Arial MT" w:hAnsi="Arial MT"/>
                        <w:color w:val="A6A6A6"/>
                        <w:sz w:val="11"/>
                      </w:rPr>
                      <w:t>sociedade</w:t>
                    </w:r>
                    <w:r>
                      <w:rPr>
                        <w:rFonts w:ascii="Arial MT" w:hAnsi="Arial MT"/>
                        <w:color w:val="A6A6A6"/>
                        <w:spacing w:val="-7"/>
                        <w:sz w:val="11"/>
                      </w:rPr>
                      <w:t> </w:t>
                    </w:r>
                    <w:r>
                      <w:rPr>
                        <w:rFonts w:ascii="Arial MT" w:hAnsi="Arial MT"/>
                        <w:color w:val="A6A6A6"/>
                        <w:sz w:val="11"/>
                      </w:rPr>
                      <w:t>simples</w:t>
                    </w:r>
                    <w:r>
                      <w:rPr>
                        <w:rFonts w:ascii="Arial MT" w:hAnsi="Arial MT"/>
                        <w:color w:val="A6A6A6"/>
                        <w:spacing w:val="-8"/>
                        <w:sz w:val="11"/>
                      </w:rPr>
                      <w:t> </w:t>
                    </w:r>
                    <w:r>
                      <w:rPr>
                        <w:rFonts w:ascii="Arial MT" w:hAnsi="Arial MT"/>
                        <w:color w:val="A6A6A6"/>
                        <w:sz w:val="11"/>
                      </w:rPr>
                      <w:t>brasileira,</w:t>
                    </w:r>
                    <w:r>
                      <w:rPr>
                        <w:rFonts w:ascii="Arial MT" w:hAnsi="Arial MT"/>
                        <w:color w:val="A6A6A6"/>
                        <w:spacing w:val="-8"/>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responsabilidade</w:t>
                    </w:r>
                    <w:r>
                      <w:rPr>
                        <w:rFonts w:ascii="Arial MT" w:hAnsi="Arial MT"/>
                        <w:color w:val="A6A6A6"/>
                        <w:spacing w:val="-2"/>
                        <w:sz w:val="11"/>
                      </w:rPr>
                      <w:t> </w:t>
                    </w:r>
                    <w:r>
                      <w:rPr>
                        <w:rFonts w:ascii="Arial MT" w:hAnsi="Arial MT"/>
                        <w:color w:val="A6A6A6"/>
                        <w:sz w:val="11"/>
                      </w:rPr>
                      <w:t>limitada</w:t>
                    </w:r>
                    <w:r>
                      <w:rPr>
                        <w:rFonts w:ascii="Arial MT" w:hAnsi="Arial MT"/>
                        <w:color w:val="A6A6A6"/>
                        <w:spacing w:val="-2"/>
                        <w:sz w:val="11"/>
                      </w:rPr>
                      <w:t> </w:t>
                    </w:r>
                    <w:r>
                      <w:rPr>
                        <w:rFonts w:ascii="Arial MT" w:hAnsi="Arial MT"/>
                        <w:color w:val="A6A6A6"/>
                        <w:sz w:val="11"/>
                      </w:rPr>
                      <w:t>e</w:t>
                    </w:r>
                    <w:r>
                      <w:rPr>
                        <w:rFonts w:ascii="Arial MT" w:hAnsi="Arial MT"/>
                        <w:color w:val="A6A6A6"/>
                        <w:spacing w:val="-3"/>
                        <w:sz w:val="11"/>
                      </w:rPr>
                      <w:t> </w:t>
                    </w:r>
                    <w:r>
                      <w:rPr>
                        <w:rFonts w:ascii="Arial MT" w:hAnsi="Arial MT"/>
                        <w:color w:val="A6A6A6"/>
                        <w:sz w:val="11"/>
                      </w:rPr>
                      <w:t>firma-membro</w:t>
                    </w:r>
                    <w:r>
                      <w:rPr>
                        <w:rFonts w:ascii="Arial MT" w:hAnsi="Arial MT"/>
                        <w:color w:val="A6A6A6"/>
                        <w:spacing w:val="-2"/>
                        <w:sz w:val="11"/>
                      </w:rPr>
                      <w:t> </w:t>
                    </w:r>
                    <w:r>
                      <w:rPr>
                        <w:rFonts w:ascii="Arial MT" w:hAnsi="Arial MT"/>
                        <w:color w:val="A6A6A6"/>
                        <w:sz w:val="11"/>
                      </w:rPr>
                      <w:t>da</w:t>
                    </w:r>
                    <w:r>
                      <w:rPr>
                        <w:rFonts w:ascii="Arial MT" w:hAnsi="Arial MT"/>
                        <w:color w:val="A6A6A6"/>
                        <w:spacing w:val="-3"/>
                        <w:sz w:val="11"/>
                      </w:rPr>
                      <w:t> </w:t>
                    </w:r>
                    <w:r>
                      <w:rPr>
                        <w:rFonts w:ascii="Arial MT" w:hAnsi="Arial MT"/>
                        <w:color w:val="A6A6A6"/>
                        <w:sz w:val="11"/>
                      </w:rPr>
                      <w:t>organização</w:t>
                    </w:r>
                    <w:r>
                      <w:rPr>
                        <w:rFonts w:ascii="Arial MT" w:hAnsi="Arial MT"/>
                        <w:color w:val="A6A6A6"/>
                        <w:spacing w:val="-2"/>
                        <w:sz w:val="11"/>
                      </w:rPr>
                      <w:t> </w:t>
                    </w:r>
                    <w:r>
                      <w:rPr>
                        <w:rFonts w:ascii="Arial MT" w:hAnsi="Arial MT"/>
                        <w:color w:val="A6A6A6"/>
                        <w:sz w:val="11"/>
                      </w:rPr>
                      <w:t>global</w:t>
                    </w:r>
                    <w:r>
                      <w:rPr>
                        <w:rFonts w:ascii="Arial MT" w:hAnsi="Arial MT"/>
                        <w:color w:val="A6A6A6"/>
                        <w:spacing w:val="-2"/>
                        <w:sz w:val="11"/>
                      </w:rPr>
                      <w:t> </w:t>
                    </w:r>
                    <w:r>
                      <w:rPr>
                        <w:rFonts w:ascii="Arial MT" w:hAnsi="Arial MT"/>
                        <w:color w:val="A6A6A6"/>
                        <w:sz w:val="11"/>
                      </w:rPr>
                      <w:t>KPMG</w:t>
                    </w:r>
                    <w:r>
                      <w:rPr>
                        <w:rFonts w:ascii="Arial MT" w:hAnsi="Arial MT"/>
                        <w:color w:val="A6A6A6"/>
                        <w:spacing w:val="-1"/>
                        <w:sz w:val="11"/>
                      </w:rPr>
                      <w:t> </w:t>
                    </w:r>
                    <w:r>
                      <w:rPr>
                        <w:rFonts w:ascii="Arial MT" w:hAnsi="Arial MT"/>
                        <w:color w:val="A6A6A6"/>
                        <w:sz w:val="11"/>
                      </w:rPr>
                      <w:t>de</w:t>
                    </w:r>
                    <w:r>
                      <w:rPr>
                        <w:rFonts w:ascii="Arial MT" w:hAnsi="Arial MT"/>
                        <w:color w:val="A6A6A6"/>
                        <w:spacing w:val="40"/>
                        <w:sz w:val="11"/>
                      </w:rPr>
                      <w:t> </w:t>
                    </w:r>
                    <w:r>
                      <w:rPr>
                        <w:rFonts w:ascii="Arial MT" w:hAnsi="Arial MT"/>
                        <w:color w:val="A6A6A6"/>
                        <w:sz w:val="11"/>
                      </w:rPr>
                      <w:t>firmas-membro independentes licenciadas da KPMG International Limited,</w:t>
                    </w:r>
                  </w:p>
                  <w:p>
                    <w:pPr>
                      <w:spacing w:line="116" w:lineRule="exact" w:before="0"/>
                      <w:ind w:left="21" w:right="0" w:firstLine="0"/>
                      <w:jc w:val="both"/>
                      <w:rPr>
                        <w:rFonts w:ascii="Arial MT"/>
                        <w:sz w:val="11"/>
                      </w:rPr>
                    </w:pPr>
                    <w:r>
                      <w:rPr>
                        <w:rFonts w:ascii="Arial MT"/>
                        <w:color w:val="A6A6A6"/>
                        <w:sz w:val="11"/>
                      </w:rPr>
                      <w:t>uma</w:t>
                    </w:r>
                    <w:r>
                      <w:rPr>
                        <w:rFonts w:ascii="Arial MT"/>
                        <w:color w:val="A6A6A6"/>
                        <w:spacing w:val="-6"/>
                        <w:sz w:val="11"/>
                      </w:rPr>
                      <w:t> </w:t>
                    </w:r>
                    <w:r>
                      <w:rPr>
                        <w:rFonts w:ascii="Arial MT"/>
                        <w:color w:val="A6A6A6"/>
                        <w:sz w:val="11"/>
                      </w:rPr>
                      <w:t>empresa</w:t>
                    </w:r>
                    <w:r>
                      <w:rPr>
                        <w:rFonts w:ascii="Arial MT"/>
                        <w:color w:val="A6A6A6"/>
                        <w:spacing w:val="-6"/>
                        <w:sz w:val="11"/>
                      </w:rPr>
                      <w:t> </w:t>
                    </w:r>
                    <w:r>
                      <w:rPr>
                        <w:rFonts w:ascii="Arial MT"/>
                        <w:color w:val="A6A6A6"/>
                        <w:sz w:val="11"/>
                      </w:rPr>
                      <w:t>inglesa</w:t>
                    </w:r>
                    <w:r>
                      <w:rPr>
                        <w:rFonts w:ascii="Arial MT"/>
                        <w:color w:val="A6A6A6"/>
                        <w:spacing w:val="-5"/>
                        <w:sz w:val="11"/>
                      </w:rPr>
                      <w:t> </w:t>
                    </w:r>
                    <w:r>
                      <w:rPr>
                        <w:rFonts w:ascii="Arial MT"/>
                        <w:color w:val="A6A6A6"/>
                        <w:sz w:val="11"/>
                      </w:rPr>
                      <w:t>privada</w:t>
                    </w:r>
                    <w:r>
                      <w:rPr>
                        <w:rFonts w:ascii="Arial MT"/>
                        <w:color w:val="A6A6A6"/>
                        <w:spacing w:val="-6"/>
                        <w:sz w:val="11"/>
                      </w:rPr>
                      <w:t> </w:t>
                    </w:r>
                    <w:r>
                      <w:rPr>
                        <w:rFonts w:ascii="Arial MT"/>
                        <w:color w:val="A6A6A6"/>
                        <w:sz w:val="11"/>
                      </w:rPr>
                      <w:t>de</w:t>
                    </w:r>
                    <w:r>
                      <w:rPr>
                        <w:rFonts w:ascii="Arial MT"/>
                        <w:color w:val="A6A6A6"/>
                        <w:spacing w:val="-6"/>
                        <w:sz w:val="11"/>
                      </w:rPr>
                      <w:t> </w:t>
                    </w:r>
                    <w:r>
                      <w:rPr>
                        <w:rFonts w:ascii="Arial MT"/>
                        <w:color w:val="A6A6A6"/>
                        <w:sz w:val="11"/>
                      </w:rPr>
                      <w:t>responsabilidade</w:t>
                    </w:r>
                    <w:r>
                      <w:rPr>
                        <w:rFonts w:ascii="Arial MT"/>
                        <w:color w:val="A6A6A6"/>
                        <w:spacing w:val="-5"/>
                        <w:sz w:val="11"/>
                      </w:rPr>
                      <w:t> </w:t>
                    </w:r>
                    <w:r>
                      <w:rPr>
                        <w:rFonts w:ascii="Arial MT"/>
                        <w:color w:val="A6A6A6"/>
                        <w:spacing w:val="-2"/>
                        <w:sz w:val="11"/>
                      </w:rPr>
                      <w:t>limitada.</w:t>
                    </w:r>
                  </w:p>
                </w:txbxContent>
              </v:textbox>
              <w10:wrap type="none"/>
            </v:shape>
          </w:pict>
        </mc:Fallback>
      </mc:AlternateContent>
    </w:r>
    <w:r>
      <w:rPr/>
      <mc:AlternateContent>
        <mc:Choice Requires="wps">
          <w:drawing>
            <wp:anchor distT="0" distB="0" distL="0" distR="0" allowOverlap="1" layoutInCell="1" locked="0" behindDoc="1" simplePos="0" relativeHeight="485589504">
              <wp:simplePos x="0" y="0"/>
              <wp:positionH relativeFrom="page">
                <wp:posOffset>3591608</wp:posOffset>
              </wp:positionH>
              <wp:positionV relativeFrom="page">
                <wp:posOffset>9561587</wp:posOffset>
              </wp:positionV>
              <wp:extent cx="2393950" cy="35750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2393950" cy="357505"/>
                      </a:xfrm>
                      <a:prstGeom prst="rect">
                        <a:avLst/>
                      </a:prstGeom>
                    </wps:spPr>
                    <wps:txbx>
                      <w:txbxContent>
                        <w:p>
                          <w:pPr>
                            <w:spacing w:line="259" w:lineRule="auto" w:before="16"/>
                            <w:ind w:left="21" w:right="0" w:hanging="2"/>
                            <w:jc w:val="left"/>
                            <w:rPr>
                              <w:rFonts w:ascii="Arial"/>
                              <w:i/>
                              <w:sz w:val="11"/>
                            </w:rPr>
                          </w:pPr>
                          <w:r>
                            <w:rPr>
                              <w:rFonts w:ascii="Arial"/>
                              <w:i/>
                              <w:color w:val="A6A6A6"/>
                              <w:sz w:val="11"/>
                            </w:rPr>
                            <w:t>KPMG Auditores Independentes Ltda., a Brazilian limited liability company</w:t>
                          </w:r>
                          <w:r>
                            <w:rPr>
                              <w:rFonts w:ascii="Arial"/>
                              <w:i/>
                              <w:color w:val="A6A6A6"/>
                              <w:spacing w:val="40"/>
                              <w:sz w:val="11"/>
                            </w:rPr>
                            <w:t> </w:t>
                          </w:r>
                          <w:r>
                            <w:rPr>
                              <w:rFonts w:ascii="Arial"/>
                              <w:i/>
                              <w:color w:val="A6A6A6"/>
                              <w:sz w:val="11"/>
                            </w:rPr>
                            <w:t>and</w:t>
                          </w:r>
                          <w:r>
                            <w:rPr>
                              <w:rFonts w:ascii="Arial"/>
                              <w:i/>
                              <w:color w:val="A6A6A6"/>
                              <w:spacing w:val="-4"/>
                              <w:sz w:val="11"/>
                            </w:rPr>
                            <w:t> </w:t>
                          </w:r>
                          <w:r>
                            <w:rPr>
                              <w:rFonts w:ascii="Arial"/>
                              <w:i/>
                              <w:color w:val="A6A6A6"/>
                              <w:sz w:val="11"/>
                            </w:rPr>
                            <w:t>a</w:t>
                          </w:r>
                          <w:r>
                            <w:rPr>
                              <w:rFonts w:ascii="Arial"/>
                              <w:i/>
                              <w:color w:val="A6A6A6"/>
                              <w:spacing w:val="-5"/>
                              <w:sz w:val="11"/>
                            </w:rPr>
                            <w:t> </w:t>
                          </w:r>
                          <w:r>
                            <w:rPr>
                              <w:rFonts w:ascii="Arial"/>
                              <w:i/>
                              <w:color w:val="A6A6A6"/>
                              <w:sz w:val="11"/>
                            </w:rPr>
                            <w:t>member</w:t>
                          </w:r>
                          <w:r>
                            <w:rPr>
                              <w:rFonts w:ascii="Arial"/>
                              <w:i/>
                              <w:color w:val="A6A6A6"/>
                              <w:spacing w:val="-5"/>
                              <w:sz w:val="11"/>
                            </w:rPr>
                            <w:t> </w:t>
                          </w:r>
                          <w:r>
                            <w:rPr>
                              <w:rFonts w:ascii="Arial"/>
                              <w:i/>
                              <w:color w:val="A6A6A6"/>
                              <w:sz w:val="11"/>
                            </w:rPr>
                            <w:t>firm</w:t>
                          </w:r>
                          <w:r>
                            <w:rPr>
                              <w:rFonts w:ascii="Arial"/>
                              <w:i/>
                              <w:color w:val="A6A6A6"/>
                              <w:spacing w:val="-3"/>
                              <w:sz w:val="11"/>
                            </w:rPr>
                            <w:t> </w:t>
                          </w:r>
                          <w:r>
                            <w:rPr>
                              <w:rFonts w:ascii="Arial"/>
                              <w:i/>
                              <w:color w:val="A6A6A6"/>
                              <w:sz w:val="11"/>
                            </w:rPr>
                            <w:t>of</w:t>
                          </w:r>
                          <w:r>
                            <w:rPr>
                              <w:rFonts w:ascii="Arial"/>
                              <w:i/>
                              <w:color w:val="A6A6A6"/>
                              <w:spacing w:val="-4"/>
                              <w:sz w:val="11"/>
                            </w:rPr>
                            <w:t> </w:t>
                          </w:r>
                          <w:r>
                            <w:rPr>
                              <w:rFonts w:ascii="Arial"/>
                              <w:i/>
                              <w:color w:val="A6A6A6"/>
                              <w:sz w:val="11"/>
                            </w:rPr>
                            <w:t>the</w:t>
                          </w:r>
                          <w:r>
                            <w:rPr>
                              <w:rFonts w:ascii="Arial"/>
                              <w:i/>
                              <w:color w:val="A6A6A6"/>
                              <w:spacing w:val="-4"/>
                              <w:sz w:val="11"/>
                            </w:rPr>
                            <w:t> </w:t>
                          </w:r>
                          <w:r>
                            <w:rPr>
                              <w:rFonts w:ascii="Arial"/>
                              <w:i/>
                              <w:color w:val="A6A6A6"/>
                              <w:sz w:val="11"/>
                            </w:rPr>
                            <w:t>KPMG</w:t>
                          </w:r>
                          <w:r>
                            <w:rPr>
                              <w:rFonts w:ascii="Arial"/>
                              <w:i/>
                              <w:color w:val="A6A6A6"/>
                              <w:spacing w:val="-3"/>
                              <w:sz w:val="11"/>
                            </w:rPr>
                            <w:t> </w:t>
                          </w:r>
                          <w:r>
                            <w:rPr>
                              <w:rFonts w:ascii="Arial"/>
                              <w:i/>
                              <w:color w:val="A6A6A6"/>
                              <w:sz w:val="11"/>
                            </w:rPr>
                            <w:t>global</w:t>
                          </w:r>
                          <w:r>
                            <w:rPr>
                              <w:rFonts w:ascii="Arial"/>
                              <w:i/>
                              <w:color w:val="A6A6A6"/>
                              <w:spacing w:val="-4"/>
                              <w:sz w:val="11"/>
                            </w:rPr>
                            <w:t> </w:t>
                          </w:r>
                          <w:r>
                            <w:rPr>
                              <w:rFonts w:ascii="Arial"/>
                              <w:i/>
                              <w:color w:val="A6A6A6"/>
                              <w:sz w:val="11"/>
                            </w:rPr>
                            <w:t>organization</w:t>
                          </w:r>
                          <w:r>
                            <w:rPr>
                              <w:rFonts w:ascii="Arial"/>
                              <w:i/>
                              <w:color w:val="A6A6A6"/>
                              <w:spacing w:val="-4"/>
                              <w:sz w:val="11"/>
                            </w:rPr>
                            <w:t> </w:t>
                          </w:r>
                          <w:r>
                            <w:rPr>
                              <w:rFonts w:ascii="Arial"/>
                              <w:i/>
                              <w:color w:val="A6A6A6"/>
                              <w:sz w:val="11"/>
                            </w:rPr>
                            <w:t>of</w:t>
                          </w:r>
                          <w:r>
                            <w:rPr>
                              <w:rFonts w:ascii="Arial"/>
                              <w:i/>
                              <w:color w:val="A6A6A6"/>
                              <w:spacing w:val="-3"/>
                              <w:sz w:val="11"/>
                            </w:rPr>
                            <w:t> </w:t>
                          </w:r>
                          <w:r>
                            <w:rPr>
                              <w:rFonts w:ascii="Arial"/>
                              <w:i/>
                              <w:color w:val="A6A6A6"/>
                              <w:sz w:val="11"/>
                            </w:rPr>
                            <w:t>independent</w:t>
                          </w:r>
                          <w:r>
                            <w:rPr>
                              <w:rFonts w:ascii="Arial"/>
                              <w:i/>
                              <w:color w:val="A6A6A6"/>
                              <w:spacing w:val="-4"/>
                              <w:sz w:val="11"/>
                            </w:rPr>
                            <w:t> </w:t>
                          </w:r>
                          <w:r>
                            <w:rPr>
                              <w:rFonts w:ascii="Arial"/>
                              <w:i/>
                              <w:color w:val="A6A6A6"/>
                              <w:sz w:val="11"/>
                            </w:rPr>
                            <w:t>member</w:t>
                          </w:r>
                          <w:r>
                            <w:rPr>
                              <w:rFonts w:ascii="Arial"/>
                              <w:i/>
                              <w:color w:val="A6A6A6"/>
                              <w:spacing w:val="40"/>
                              <w:sz w:val="11"/>
                            </w:rPr>
                            <w:t> </w:t>
                          </w:r>
                          <w:r>
                            <w:rPr>
                              <w:rFonts w:ascii="Arial"/>
                              <w:i/>
                              <w:color w:val="A6A6A6"/>
                              <w:sz w:val="11"/>
                            </w:rPr>
                            <w:t>firms affiliated with KPMG International Limited, a private English company</w:t>
                          </w:r>
                        </w:p>
                        <w:p>
                          <w:pPr>
                            <w:spacing w:line="116" w:lineRule="exact" w:before="0"/>
                            <w:ind w:left="21" w:right="0" w:firstLine="0"/>
                            <w:jc w:val="left"/>
                            <w:rPr>
                              <w:rFonts w:ascii="Arial"/>
                              <w:i/>
                              <w:sz w:val="11"/>
                            </w:rPr>
                          </w:pPr>
                          <w:r>
                            <w:rPr>
                              <w:rFonts w:ascii="Arial"/>
                              <w:i/>
                              <w:color w:val="A6A6A6"/>
                              <w:sz w:val="11"/>
                            </w:rPr>
                            <w:t>limited</w:t>
                          </w:r>
                          <w:r>
                            <w:rPr>
                              <w:rFonts w:ascii="Arial"/>
                              <w:i/>
                              <w:color w:val="A6A6A6"/>
                              <w:spacing w:val="-3"/>
                              <w:sz w:val="11"/>
                            </w:rPr>
                            <w:t> </w:t>
                          </w:r>
                          <w:r>
                            <w:rPr>
                              <w:rFonts w:ascii="Arial"/>
                              <w:i/>
                              <w:color w:val="A6A6A6"/>
                              <w:sz w:val="11"/>
                            </w:rPr>
                            <w:t>by</w:t>
                          </w:r>
                          <w:r>
                            <w:rPr>
                              <w:rFonts w:ascii="Arial"/>
                              <w:i/>
                              <w:color w:val="A6A6A6"/>
                              <w:spacing w:val="-2"/>
                              <w:sz w:val="11"/>
                            </w:rPr>
                            <w:t> guarantee.</w:t>
                          </w:r>
                        </w:p>
                      </w:txbxContent>
                    </wps:txbx>
                    <wps:bodyPr wrap="square" lIns="0" tIns="0" rIns="0" bIns="0" rtlCol="0">
                      <a:noAutofit/>
                    </wps:bodyPr>
                  </wps:wsp>
                </a:graphicData>
              </a:graphic>
            </wp:anchor>
          </w:drawing>
        </mc:Choice>
        <mc:Fallback>
          <w:pict>
            <v:shape style="position:absolute;margin-left:282.803833pt;margin-top:752.88092pt;width:188.5pt;height:28.15pt;mso-position-horizontal-relative:page;mso-position-vertical-relative:page;z-index:-17726976" type="#_x0000_t202" id="docshape14" filled="false" stroked="false">
              <v:textbox inset="0,0,0,0">
                <w:txbxContent>
                  <w:p>
                    <w:pPr>
                      <w:spacing w:line="259" w:lineRule="auto" w:before="16"/>
                      <w:ind w:left="21" w:right="0" w:hanging="2"/>
                      <w:jc w:val="left"/>
                      <w:rPr>
                        <w:rFonts w:ascii="Arial"/>
                        <w:i/>
                        <w:sz w:val="11"/>
                      </w:rPr>
                    </w:pPr>
                    <w:r>
                      <w:rPr>
                        <w:rFonts w:ascii="Arial"/>
                        <w:i/>
                        <w:color w:val="A6A6A6"/>
                        <w:sz w:val="11"/>
                      </w:rPr>
                      <w:t>KPMG Auditores Independentes Ltda., a Brazilian limited liability company</w:t>
                    </w:r>
                    <w:r>
                      <w:rPr>
                        <w:rFonts w:ascii="Arial"/>
                        <w:i/>
                        <w:color w:val="A6A6A6"/>
                        <w:spacing w:val="40"/>
                        <w:sz w:val="11"/>
                      </w:rPr>
                      <w:t> </w:t>
                    </w:r>
                    <w:r>
                      <w:rPr>
                        <w:rFonts w:ascii="Arial"/>
                        <w:i/>
                        <w:color w:val="A6A6A6"/>
                        <w:sz w:val="11"/>
                      </w:rPr>
                      <w:t>and</w:t>
                    </w:r>
                    <w:r>
                      <w:rPr>
                        <w:rFonts w:ascii="Arial"/>
                        <w:i/>
                        <w:color w:val="A6A6A6"/>
                        <w:spacing w:val="-4"/>
                        <w:sz w:val="11"/>
                      </w:rPr>
                      <w:t> </w:t>
                    </w:r>
                    <w:r>
                      <w:rPr>
                        <w:rFonts w:ascii="Arial"/>
                        <w:i/>
                        <w:color w:val="A6A6A6"/>
                        <w:sz w:val="11"/>
                      </w:rPr>
                      <w:t>a</w:t>
                    </w:r>
                    <w:r>
                      <w:rPr>
                        <w:rFonts w:ascii="Arial"/>
                        <w:i/>
                        <w:color w:val="A6A6A6"/>
                        <w:spacing w:val="-5"/>
                        <w:sz w:val="11"/>
                      </w:rPr>
                      <w:t> </w:t>
                    </w:r>
                    <w:r>
                      <w:rPr>
                        <w:rFonts w:ascii="Arial"/>
                        <w:i/>
                        <w:color w:val="A6A6A6"/>
                        <w:sz w:val="11"/>
                      </w:rPr>
                      <w:t>member</w:t>
                    </w:r>
                    <w:r>
                      <w:rPr>
                        <w:rFonts w:ascii="Arial"/>
                        <w:i/>
                        <w:color w:val="A6A6A6"/>
                        <w:spacing w:val="-5"/>
                        <w:sz w:val="11"/>
                      </w:rPr>
                      <w:t> </w:t>
                    </w:r>
                    <w:r>
                      <w:rPr>
                        <w:rFonts w:ascii="Arial"/>
                        <w:i/>
                        <w:color w:val="A6A6A6"/>
                        <w:sz w:val="11"/>
                      </w:rPr>
                      <w:t>firm</w:t>
                    </w:r>
                    <w:r>
                      <w:rPr>
                        <w:rFonts w:ascii="Arial"/>
                        <w:i/>
                        <w:color w:val="A6A6A6"/>
                        <w:spacing w:val="-3"/>
                        <w:sz w:val="11"/>
                      </w:rPr>
                      <w:t> </w:t>
                    </w:r>
                    <w:r>
                      <w:rPr>
                        <w:rFonts w:ascii="Arial"/>
                        <w:i/>
                        <w:color w:val="A6A6A6"/>
                        <w:sz w:val="11"/>
                      </w:rPr>
                      <w:t>of</w:t>
                    </w:r>
                    <w:r>
                      <w:rPr>
                        <w:rFonts w:ascii="Arial"/>
                        <w:i/>
                        <w:color w:val="A6A6A6"/>
                        <w:spacing w:val="-4"/>
                        <w:sz w:val="11"/>
                      </w:rPr>
                      <w:t> </w:t>
                    </w:r>
                    <w:r>
                      <w:rPr>
                        <w:rFonts w:ascii="Arial"/>
                        <w:i/>
                        <w:color w:val="A6A6A6"/>
                        <w:sz w:val="11"/>
                      </w:rPr>
                      <w:t>the</w:t>
                    </w:r>
                    <w:r>
                      <w:rPr>
                        <w:rFonts w:ascii="Arial"/>
                        <w:i/>
                        <w:color w:val="A6A6A6"/>
                        <w:spacing w:val="-4"/>
                        <w:sz w:val="11"/>
                      </w:rPr>
                      <w:t> </w:t>
                    </w:r>
                    <w:r>
                      <w:rPr>
                        <w:rFonts w:ascii="Arial"/>
                        <w:i/>
                        <w:color w:val="A6A6A6"/>
                        <w:sz w:val="11"/>
                      </w:rPr>
                      <w:t>KPMG</w:t>
                    </w:r>
                    <w:r>
                      <w:rPr>
                        <w:rFonts w:ascii="Arial"/>
                        <w:i/>
                        <w:color w:val="A6A6A6"/>
                        <w:spacing w:val="-3"/>
                        <w:sz w:val="11"/>
                      </w:rPr>
                      <w:t> </w:t>
                    </w:r>
                    <w:r>
                      <w:rPr>
                        <w:rFonts w:ascii="Arial"/>
                        <w:i/>
                        <w:color w:val="A6A6A6"/>
                        <w:sz w:val="11"/>
                      </w:rPr>
                      <w:t>global</w:t>
                    </w:r>
                    <w:r>
                      <w:rPr>
                        <w:rFonts w:ascii="Arial"/>
                        <w:i/>
                        <w:color w:val="A6A6A6"/>
                        <w:spacing w:val="-4"/>
                        <w:sz w:val="11"/>
                      </w:rPr>
                      <w:t> </w:t>
                    </w:r>
                    <w:r>
                      <w:rPr>
                        <w:rFonts w:ascii="Arial"/>
                        <w:i/>
                        <w:color w:val="A6A6A6"/>
                        <w:sz w:val="11"/>
                      </w:rPr>
                      <w:t>organization</w:t>
                    </w:r>
                    <w:r>
                      <w:rPr>
                        <w:rFonts w:ascii="Arial"/>
                        <w:i/>
                        <w:color w:val="A6A6A6"/>
                        <w:spacing w:val="-4"/>
                        <w:sz w:val="11"/>
                      </w:rPr>
                      <w:t> </w:t>
                    </w:r>
                    <w:r>
                      <w:rPr>
                        <w:rFonts w:ascii="Arial"/>
                        <w:i/>
                        <w:color w:val="A6A6A6"/>
                        <w:sz w:val="11"/>
                      </w:rPr>
                      <w:t>of</w:t>
                    </w:r>
                    <w:r>
                      <w:rPr>
                        <w:rFonts w:ascii="Arial"/>
                        <w:i/>
                        <w:color w:val="A6A6A6"/>
                        <w:spacing w:val="-3"/>
                        <w:sz w:val="11"/>
                      </w:rPr>
                      <w:t> </w:t>
                    </w:r>
                    <w:r>
                      <w:rPr>
                        <w:rFonts w:ascii="Arial"/>
                        <w:i/>
                        <w:color w:val="A6A6A6"/>
                        <w:sz w:val="11"/>
                      </w:rPr>
                      <w:t>independent</w:t>
                    </w:r>
                    <w:r>
                      <w:rPr>
                        <w:rFonts w:ascii="Arial"/>
                        <w:i/>
                        <w:color w:val="A6A6A6"/>
                        <w:spacing w:val="-4"/>
                        <w:sz w:val="11"/>
                      </w:rPr>
                      <w:t> </w:t>
                    </w:r>
                    <w:r>
                      <w:rPr>
                        <w:rFonts w:ascii="Arial"/>
                        <w:i/>
                        <w:color w:val="A6A6A6"/>
                        <w:sz w:val="11"/>
                      </w:rPr>
                      <w:t>member</w:t>
                    </w:r>
                    <w:r>
                      <w:rPr>
                        <w:rFonts w:ascii="Arial"/>
                        <w:i/>
                        <w:color w:val="A6A6A6"/>
                        <w:spacing w:val="40"/>
                        <w:sz w:val="11"/>
                      </w:rPr>
                      <w:t> </w:t>
                    </w:r>
                    <w:r>
                      <w:rPr>
                        <w:rFonts w:ascii="Arial"/>
                        <w:i/>
                        <w:color w:val="A6A6A6"/>
                        <w:sz w:val="11"/>
                      </w:rPr>
                      <w:t>firms affiliated with KPMG International Limited, a private English company</w:t>
                    </w:r>
                  </w:p>
                  <w:p>
                    <w:pPr>
                      <w:spacing w:line="116" w:lineRule="exact" w:before="0"/>
                      <w:ind w:left="21" w:right="0" w:firstLine="0"/>
                      <w:jc w:val="left"/>
                      <w:rPr>
                        <w:rFonts w:ascii="Arial"/>
                        <w:i/>
                        <w:sz w:val="11"/>
                      </w:rPr>
                    </w:pPr>
                    <w:r>
                      <w:rPr>
                        <w:rFonts w:ascii="Arial"/>
                        <w:i/>
                        <w:color w:val="A6A6A6"/>
                        <w:sz w:val="11"/>
                      </w:rPr>
                      <w:t>limited</w:t>
                    </w:r>
                    <w:r>
                      <w:rPr>
                        <w:rFonts w:ascii="Arial"/>
                        <w:i/>
                        <w:color w:val="A6A6A6"/>
                        <w:spacing w:val="-3"/>
                        <w:sz w:val="11"/>
                      </w:rPr>
                      <w:t> </w:t>
                    </w:r>
                    <w:r>
                      <w:rPr>
                        <w:rFonts w:ascii="Arial"/>
                        <w:i/>
                        <w:color w:val="A6A6A6"/>
                        <w:sz w:val="11"/>
                      </w:rPr>
                      <w:t>by</w:t>
                    </w:r>
                    <w:r>
                      <w:rPr>
                        <w:rFonts w:ascii="Arial"/>
                        <w:i/>
                        <w:color w:val="A6A6A6"/>
                        <w:spacing w:val="-2"/>
                        <w:sz w:val="11"/>
                      </w:rPr>
                      <w:t> guarantee.</w:t>
                    </w:r>
                  </w:p>
                </w:txbxContent>
              </v:textbox>
              <w10:wrap type="none"/>
            </v:shape>
          </w:pict>
        </mc:Fallback>
      </mc:AlternateContent>
    </w:r>
    <w:r>
      <w:rPr/>
      <mc:AlternateContent>
        <mc:Choice Requires="wps">
          <w:drawing>
            <wp:anchor distT="0" distB="0" distL="0" distR="0" allowOverlap="1" layoutInCell="1" locked="0" behindDoc="1" simplePos="0" relativeHeight="485590016">
              <wp:simplePos x="0" y="0"/>
              <wp:positionH relativeFrom="page">
                <wp:posOffset>876300</wp:posOffset>
              </wp:positionH>
              <wp:positionV relativeFrom="page">
                <wp:posOffset>10100369</wp:posOffset>
              </wp:positionV>
              <wp:extent cx="219075" cy="153035"/>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19075" cy="153035"/>
                      </a:xfrm>
                      <a:prstGeom prst="rect">
                        <a:avLst/>
                      </a:prstGeom>
                    </wps:spPr>
                    <wps:txbx>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69pt;margin-top:795.304688pt;width:17.25pt;height:12.05pt;mso-position-horizontal-relative:page;mso-position-vertical-relative:page;z-index:-17726464" type="#_x0000_t202" id="docshape15" filled="false" stroked="false">
              <v:textbox inset="0,0,0,0">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w:t>
                    </w:r>
                    <w:r>
                      <w:rPr>
                        <w:spacing w:val="-5"/>
                        <w:sz w:val="20"/>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0528">
              <wp:simplePos x="0" y="0"/>
              <wp:positionH relativeFrom="page">
                <wp:posOffset>2162689</wp:posOffset>
              </wp:positionH>
              <wp:positionV relativeFrom="page">
                <wp:posOffset>7021892</wp:posOffset>
              </wp:positionV>
              <wp:extent cx="155575" cy="15303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55575" cy="153035"/>
                      </a:xfrm>
                      <a:prstGeom prst="rect">
                        <a:avLst/>
                      </a:prstGeom>
                    </wps:spPr>
                    <wps:txbx>
                      <w:txbxContent>
                        <w:p>
                          <w:pPr>
                            <w:spacing w:line="224" w:lineRule="exact" w:before="0"/>
                            <w:ind w:left="20" w:right="0" w:firstLine="0"/>
                            <w:jc w:val="left"/>
                            <w:rPr>
                              <w:sz w:val="20"/>
                            </w:rPr>
                          </w:pPr>
                          <w:r>
                            <w:rPr>
                              <w:spacing w:val="-5"/>
                              <w:sz w:val="20"/>
                            </w:rPr>
                            <w:t>11</w:t>
                          </w:r>
                        </w:p>
                      </w:txbxContent>
                    </wps:txbx>
                    <wps:bodyPr wrap="square" lIns="0" tIns="0" rIns="0" bIns="0" rtlCol="0">
                      <a:noAutofit/>
                    </wps:bodyPr>
                  </wps:wsp>
                </a:graphicData>
              </a:graphic>
            </wp:anchor>
          </w:drawing>
        </mc:Choice>
        <mc:Fallback>
          <w:pict>
            <v:shape style="position:absolute;margin-left:170.290497pt;margin-top:552.904907pt;width:12.25pt;height:12.05pt;mso-position-horizontal-relative:page;mso-position-vertical-relative:page;z-index:-17725952" type="#_x0000_t202" id="docshape20" filled="false" stroked="false">
              <v:textbox inset="0,0,0,0">
                <w:txbxContent>
                  <w:p>
                    <w:pPr>
                      <w:spacing w:line="224" w:lineRule="exact" w:before="0"/>
                      <w:ind w:left="20" w:right="0" w:firstLine="0"/>
                      <w:jc w:val="left"/>
                      <w:rPr>
                        <w:sz w:val="20"/>
                      </w:rPr>
                    </w:pPr>
                    <w:r>
                      <w:rPr>
                        <w:spacing w:val="-5"/>
                        <w:sz w:val="20"/>
                      </w:rPr>
                      <w:t>11</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1552">
              <wp:simplePos x="0" y="0"/>
              <wp:positionH relativeFrom="page">
                <wp:posOffset>1395983</wp:posOffset>
              </wp:positionH>
              <wp:positionV relativeFrom="page">
                <wp:posOffset>10153709</wp:posOffset>
              </wp:positionV>
              <wp:extent cx="219075" cy="153035"/>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219075" cy="153035"/>
                      </a:xfrm>
                      <a:prstGeom prst="rect">
                        <a:avLst/>
                      </a:prstGeom>
                    </wps:spPr>
                    <wps:txbx>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109.919998pt;margin-top:799.5047pt;width:17.25pt;height:12.05pt;mso-position-horizontal-relative:page;mso-position-vertical-relative:page;z-index:-17724928" type="#_x0000_t202" id="docshape30" filled="false" stroked="false">
              <v:textbox inset="0,0,0,0">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12</w:t>
                    </w:r>
                    <w:r>
                      <w:rPr>
                        <w:spacing w:val="-5"/>
                        <w:sz w:val="2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2064">
              <wp:simplePos x="0" y="0"/>
              <wp:positionH relativeFrom="page">
                <wp:posOffset>2162689</wp:posOffset>
              </wp:positionH>
              <wp:positionV relativeFrom="page">
                <wp:posOffset>7021892</wp:posOffset>
              </wp:positionV>
              <wp:extent cx="155575" cy="1530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55575" cy="153035"/>
                      </a:xfrm>
                      <a:prstGeom prst="rect">
                        <a:avLst/>
                      </a:prstGeom>
                    </wps:spPr>
                    <wps:txbx>
                      <w:txbxContent>
                        <w:p>
                          <w:pPr>
                            <w:spacing w:line="224" w:lineRule="exact" w:before="0"/>
                            <w:ind w:left="20" w:right="0" w:firstLine="0"/>
                            <w:jc w:val="left"/>
                            <w:rPr>
                              <w:sz w:val="20"/>
                            </w:rPr>
                          </w:pPr>
                          <w:r>
                            <w:rPr>
                              <w:spacing w:val="-5"/>
                              <w:sz w:val="20"/>
                            </w:rPr>
                            <w:t>15</w:t>
                          </w:r>
                        </w:p>
                      </w:txbxContent>
                    </wps:txbx>
                    <wps:bodyPr wrap="square" lIns="0" tIns="0" rIns="0" bIns="0" rtlCol="0">
                      <a:noAutofit/>
                    </wps:bodyPr>
                  </wps:wsp>
                </a:graphicData>
              </a:graphic>
            </wp:anchor>
          </w:drawing>
        </mc:Choice>
        <mc:Fallback>
          <w:pict>
            <v:shape style="position:absolute;margin-left:170.290497pt;margin-top:552.904907pt;width:12.25pt;height:12.05pt;mso-position-horizontal-relative:page;mso-position-vertical-relative:page;z-index:-17724416" type="#_x0000_t202" id="docshape38" filled="false" stroked="false">
              <v:textbox inset="0,0,0,0">
                <w:txbxContent>
                  <w:p>
                    <w:pPr>
                      <w:spacing w:line="224" w:lineRule="exact" w:before="0"/>
                      <w:ind w:left="20" w:right="0" w:firstLine="0"/>
                      <w:jc w:val="left"/>
                      <w:rPr>
                        <w:sz w:val="20"/>
                      </w:rPr>
                    </w:pPr>
                    <w:r>
                      <w:rPr>
                        <w:spacing w:val="-5"/>
                        <w:sz w:val="20"/>
                      </w:rPr>
                      <w:t>15</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3088">
              <wp:simplePos x="0" y="0"/>
              <wp:positionH relativeFrom="page">
                <wp:posOffset>1389880</wp:posOffset>
              </wp:positionH>
              <wp:positionV relativeFrom="page">
                <wp:posOffset>10140758</wp:posOffset>
              </wp:positionV>
              <wp:extent cx="231140" cy="1651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31140" cy="165100"/>
                      </a:xfrm>
                      <a:prstGeom prst="rect">
                        <a:avLst/>
                      </a:prstGeom>
                    </wps:spPr>
                    <wps:txbx>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 style="position:absolute;margin-left:109.439384pt;margin-top:798.484924pt;width:18.2pt;height:13pt;mso-position-horizontal-relative:page;mso-position-vertical-relative:page;z-index:-17723392" type="#_x0000_t202" id="docshape40" filled="false" stroked="false">
              <v:textbox inset="0,0,0,0">
                <w:txbxContent>
                  <w:p>
                    <w:pPr>
                      <w:pStyle w:val="BodyText"/>
                      <w:spacing w:line="244" w:lineRule="exact"/>
                      <w:ind w:left="60"/>
                    </w:pPr>
                    <w:r>
                      <w:rPr>
                        <w:spacing w:val="-5"/>
                      </w:rPr>
                      <w:fldChar w:fldCharType="begin"/>
                    </w:r>
                    <w:r>
                      <w:rPr>
                        <w:spacing w:val="-5"/>
                      </w:rPr>
                      <w:instrText> PAGE </w:instrText>
                    </w:r>
                    <w:r>
                      <w:rPr>
                        <w:spacing w:val="-5"/>
                      </w:rPr>
                      <w:fldChar w:fldCharType="separate"/>
                    </w:r>
                    <w:r>
                      <w:rPr>
                        <w:spacing w:val="-5"/>
                      </w:rPr>
                      <w:t>16</w:t>
                    </w:r>
                    <w:r>
                      <w:rPr>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9"/>
      </w:rPr>
    </w:pPr>
    <w:r>
      <w:rPr/>
      <mc:AlternateContent>
        <mc:Choice Requires="wps">
          <w:drawing>
            <wp:anchor distT="0" distB="0" distL="0" distR="0" allowOverlap="1" layoutInCell="1" locked="0" behindDoc="1" simplePos="0" relativeHeight="485594624">
              <wp:simplePos x="0" y="0"/>
              <wp:positionH relativeFrom="page">
                <wp:posOffset>1395222</wp:posOffset>
              </wp:positionH>
              <wp:positionV relativeFrom="page">
                <wp:posOffset>10148375</wp:posOffset>
              </wp:positionV>
              <wp:extent cx="219710" cy="15811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19710" cy="158115"/>
                      </a:xfrm>
                      <a:prstGeom prst="rect">
                        <a:avLst/>
                      </a:prstGeom>
                    </wps:spPr>
                    <wps:txbx>
                      <w:txbxContent>
                        <w:p>
                          <w:pPr>
                            <w:spacing w:line="232" w:lineRule="exact" w:before="0"/>
                            <w:ind w:left="61"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109.860001pt;margin-top:799.084717pt;width:17.3pt;height:12.45pt;mso-position-horizontal-relative:page;mso-position-vertical-relative:page;z-index:-17721856" type="#_x0000_t202" id="docshape44" filled="false" stroked="false">
              <v:textbox inset="0,0,0,0">
                <w:txbxContent>
                  <w:p>
                    <w:pPr>
                      <w:spacing w:line="232" w:lineRule="exact" w:before="0"/>
                      <w:ind w:left="61"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23</w:t>
                    </w:r>
                    <w:r>
                      <w:rPr>
                        <w:spacing w:val="-5"/>
                        <w:sz w:val="20"/>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5648">
              <wp:simplePos x="0" y="0"/>
              <wp:positionH relativeFrom="page">
                <wp:posOffset>1395983</wp:posOffset>
              </wp:positionH>
              <wp:positionV relativeFrom="page">
                <wp:posOffset>10153709</wp:posOffset>
              </wp:positionV>
              <wp:extent cx="219075" cy="153035"/>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19075" cy="153035"/>
                      </a:xfrm>
                      <a:prstGeom prst="rect">
                        <a:avLst/>
                      </a:prstGeom>
                    </wps:spPr>
                    <wps:txbx>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109.919998pt;margin-top:799.5047pt;width:17.25pt;height:12.05pt;mso-position-horizontal-relative:page;mso-position-vertical-relative:page;z-index:-17720832" type="#_x0000_t202" id="docshape96" filled="false" stroked="false">
              <v:textbox inset="0,0,0,0">
                <w:txbxContent>
                  <w:p>
                    <w:pPr>
                      <w:spacing w:line="224" w:lineRule="exact" w:before="0"/>
                      <w:ind w:left="6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38</w:t>
                    </w:r>
                    <w:r>
                      <w:rPr>
                        <w:spacing w:val="-5"/>
                        <w:sz w:val="20"/>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1040">
              <wp:simplePos x="0" y="0"/>
              <wp:positionH relativeFrom="page">
                <wp:posOffset>528319</wp:posOffset>
              </wp:positionH>
              <wp:positionV relativeFrom="page">
                <wp:posOffset>392108</wp:posOffset>
              </wp:positionV>
              <wp:extent cx="2889250" cy="366395"/>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889250" cy="366395"/>
                      </a:xfrm>
                      <a:prstGeom prst="rect">
                        <a:avLst/>
                      </a:prstGeom>
                    </wps:spPr>
                    <wps:txbx>
                      <w:txbxContent>
                        <w:p>
                          <w:pPr>
                            <w:spacing w:line="299"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txbxContent>
                    </wps:txbx>
                    <wps:bodyPr wrap="square" lIns="0" tIns="0" rIns="0" bIns="0" rtlCol="0">
                      <a:noAutofit/>
                    </wps:bodyPr>
                  </wps:wsp>
                </a:graphicData>
              </a:graphic>
            </wp:anchor>
          </w:drawing>
        </mc:Choice>
        <mc:Fallback>
          <w:pict>
            <v:shape style="position:absolute;margin-left:41.599998pt;margin-top:30.874701pt;width:227.5pt;height:28.85pt;mso-position-horizontal-relative:page;mso-position-vertical-relative:page;z-index:-17725440" type="#_x0000_t202" id="docshape29" filled="false" stroked="false">
              <v:textbox inset="0,0,0,0">
                <w:txbxContent>
                  <w:p>
                    <w:pPr>
                      <w:spacing w:line="299"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2576">
              <wp:simplePos x="0" y="0"/>
              <wp:positionH relativeFrom="page">
                <wp:posOffset>528319</wp:posOffset>
              </wp:positionH>
              <wp:positionV relativeFrom="page">
                <wp:posOffset>392108</wp:posOffset>
              </wp:positionV>
              <wp:extent cx="2889250" cy="366395"/>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2889250" cy="366395"/>
                      </a:xfrm>
                      <a:prstGeom prst="rect">
                        <a:avLst/>
                      </a:prstGeom>
                    </wps:spPr>
                    <wps:txbx>
                      <w:txbxContent>
                        <w:p>
                          <w:pPr>
                            <w:spacing w:line="299"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txbxContent>
                    </wps:txbx>
                    <wps:bodyPr wrap="square" lIns="0" tIns="0" rIns="0" bIns="0" rtlCol="0">
                      <a:noAutofit/>
                    </wps:bodyPr>
                  </wps:wsp>
                </a:graphicData>
              </a:graphic>
            </wp:anchor>
          </w:drawing>
        </mc:Choice>
        <mc:Fallback>
          <w:pict>
            <v:shape style="position:absolute;margin-left:41.599998pt;margin-top:30.874701pt;width:227.5pt;height:28.85pt;mso-position-horizontal-relative:page;mso-position-vertical-relative:page;z-index:-17723904" type="#_x0000_t202" id="docshape39" filled="false" stroked="false">
              <v:textbox inset="0,0,0,0">
                <w:txbxContent>
                  <w:p>
                    <w:pPr>
                      <w:spacing w:line="299"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3600">
              <wp:simplePos x="0" y="0"/>
              <wp:positionH relativeFrom="page">
                <wp:posOffset>522731</wp:posOffset>
              </wp:positionH>
              <wp:positionV relativeFrom="page">
                <wp:posOffset>1138427</wp:posOffset>
              </wp:positionV>
              <wp:extent cx="651827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6518275" cy="1270"/>
                      </a:xfrm>
                      <a:custGeom>
                        <a:avLst/>
                        <a:gdLst/>
                        <a:ahLst/>
                        <a:cxnLst/>
                        <a:rect l="l" t="t" r="r" b="b"/>
                        <a:pathLst>
                          <a:path w="6518275" h="0">
                            <a:moveTo>
                              <a:pt x="0" y="0"/>
                            </a:moveTo>
                            <a:lnTo>
                              <a:pt x="6518148" y="0"/>
                            </a:lnTo>
                          </a:path>
                        </a:pathLst>
                      </a:custGeom>
                      <a:ln w="1828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722880" from="41.16pt,89.639999pt" to="554.4pt,89.639999pt" stroked="true" strokeweight="1.44pt" strokecolor="#000000">
              <v:stroke dashstyle="solid"/>
              <w10:wrap type="none"/>
            </v:line>
          </w:pict>
        </mc:Fallback>
      </mc:AlternateContent>
    </w:r>
    <w:r>
      <w:rPr/>
      <mc:AlternateContent>
        <mc:Choice Requires="wps">
          <w:drawing>
            <wp:anchor distT="0" distB="0" distL="0" distR="0" allowOverlap="1" layoutInCell="1" locked="0" behindDoc="1" simplePos="0" relativeHeight="485594112">
              <wp:simplePos x="0" y="0"/>
              <wp:positionH relativeFrom="page">
                <wp:posOffset>528319</wp:posOffset>
              </wp:positionH>
              <wp:positionV relativeFrom="page">
                <wp:posOffset>392108</wp:posOffset>
              </wp:positionV>
              <wp:extent cx="3453129" cy="72263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3453129" cy="722630"/>
                      </a:xfrm>
                      <a:prstGeom prst="rect">
                        <a:avLst/>
                      </a:prstGeom>
                    </wps:spPr>
                    <wps:txbx>
                      <w:txbxContent>
                        <w:p>
                          <w:pPr>
                            <w:spacing w:line="298"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p>
                          <w:pPr>
                            <w:spacing w:line="290" w:lineRule="exact" w:before="5"/>
                            <w:ind w:left="20" w:right="0" w:firstLine="0"/>
                            <w:jc w:val="left"/>
                            <w:rPr>
                              <w:sz w:val="24"/>
                            </w:rPr>
                          </w:pPr>
                          <w:r>
                            <w:rPr>
                              <w:sz w:val="24"/>
                            </w:rPr>
                            <w:t>Notas</w:t>
                          </w:r>
                          <w:r>
                            <w:rPr>
                              <w:spacing w:val="-1"/>
                              <w:sz w:val="24"/>
                            </w:rPr>
                            <w:t> </w:t>
                          </w:r>
                          <w:r>
                            <w:rPr>
                              <w:spacing w:val="-2"/>
                              <w:sz w:val="24"/>
                            </w:rPr>
                            <w:t>Explicativas</w:t>
                          </w:r>
                        </w:p>
                        <w:p>
                          <w:pPr>
                            <w:spacing w:line="266" w:lineRule="exact" w:before="0"/>
                            <w:ind w:left="20" w:right="0" w:firstLine="0"/>
                            <w:jc w:val="left"/>
                            <w:rPr>
                              <w:i/>
                              <w:sz w:val="22"/>
                            </w:rPr>
                          </w:pPr>
                          <w:r>
                            <w:rPr>
                              <w:i/>
                              <w:sz w:val="22"/>
                            </w:rPr>
                            <w:t>(Em</w:t>
                          </w:r>
                          <w:r>
                            <w:rPr>
                              <w:i/>
                              <w:spacing w:val="-9"/>
                              <w:sz w:val="22"/>
                            </w:rPr>
                            <w:t> </w:t>
                          </w:r>
                          <w:r>
                            <w:rPr>
                              <w:i/>
                              <w:sz w:val="22"/>
                            </w:rPr>
                            <w:t>milhares</w:t>
                          </w:r>
                          <w:r>
                            <w:rPr>
                              <w:i/>
                              <w:spacing w:val="-8"/>
                              <w:sz w:val="22"/>
                            </w:rPr>
                            <w:t> </w:t>
                          </w:r>
                          <w:r>
                            <w:rPr>
                              <w:i/>
                              <w:sz w:val="22"/>
                            </w:rPr>
                            <w:t>de</w:t>
                          </w:r>
                          <w:r>
                            <w:rPr>
                              <w:i/>
                              <w:spacing w:val="-9"/>
                              <w:sz w:val="22"/>
                            </w:rPr>
                            <w:t> </w:t>
                          </w:r>
                          <w:r>
                            <w:rPr>
                              <w:i/>
                              <w:sz w:val="22"/>
                            </w:rPr>
                            <w:t>reais,</w:t>
                          </w:r>
                          <w:r>
                            <w:rPr>
                              <w:i/>
                              <w:spacing w:val="-7"/>
                              <w:sz w:val="22"/>
                            </w:rPr>
                            <w:t> </w:t>
                          </w:r>
                          <w:r>
                            <w:rPr>
                              <w:i/>
                              <w:sz w:val="22"/>
                            </w:rPr>
                            <w:t>exceto</w:t>
                          </w:r>
                          <w:r>
                            <w:rPr>
                              <w:i/>
                              <w:spacing w:val="-9"/>
                              <w:sz w:val="22"/>
                            </w:rPr>
                            <w:t> </w:t>
                          </w:r>
                          <w:r>
                            <w:rPr>
                              <w:i/>
                              <w:sz w:val="22"/>
                            </w:rPr>
                            <w:t>quando</w:t>
                          </w:r>
                          <w:r>
                            <w:rPr>
                              <w:i/>
                              <w:spacing w:val="-7"/>
                              <w:sz w:val="22"/>
                            </w:rPr>
                            <w:t> </w:t>
                          </w:r>
                          <w:r>
                            <w:rPr>
                              <w:i/>
                              <w:sz w:val="22"/>
                            </w:rPr>
                            <w:t>indicado</w:t>
                          </w:r>
                          <w:r>
                            <w:rPr>
                              <w:i/>
                              <w:spacing w:val="-8"/>
                              <w:sz w:val="22"/>
                            </w:rPr>
                            <w:t> </w:t>
                          </w:r>
                          <w:r>
                            <w:rPr>
                              <w:i/>
                              <w:sz w:val="22"/>
                            </w:rPr>
                            <w:t>em</w:t>
                          </w:r>
                          <w:r>
                            <w:rPr>
                              <w:i/>
                              <w:spacing w:val="-8"/>
                              <w:sz w:val="22"/>
                            </w:rPr>
                            <w:t> </w:t>
                          </w:r>
                          <w:r>
                            <w:rPr>
                              <w:i/>
                              <w:spacing w:val="-2"/>
                              <w:sz w:val="22"/>
                            </w:rPr>
                            <w:t>contrário)</w:t>
                          </w:r>
                        </w:p>
                      </w:txbxContent>
                    </wps:txbx>
                    <wps:bodyPr wrap="square" lIns="0" tIns="0" rIns="0" bIns="0" rtlCol="0">
                      <a:noAutofit/>
                    </wps:bodyPr>
                  </wps:wsp>
                </a:graphicData>
              </a:graphic>
            </wp:anchor>
          </w:drawing>
        </mc:Choice>
        <mc:Fallback>
          <w:pict>
            <v:shape style="position:absolute;margin-left:41.599998pt;margin-top:30.874701pt;width:271.9pt;height:56.9pt;mso-position-horizontal-relative:page;mso-position-vertical-relative:page;z-index:-17722368" type="#_x0000_t202" id="docshape43" filled="false" stroked="false">
              <v:textbox inset="0,0,0,0">
                <w:txbxContent>
                  <w:p>
                    <w:pPr>
                      <w:spacing w:line="298"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p>
                    <w:pPr>
                      <w:spacing w:line="262" w:lineRule="exact" w:before="0"/>
                      <w:ind w:left="20" w:right="0" w:firstLine="0"/>
                      <w:jc w:val="left"/>
                      <w:rPr>
                        <w:i/>
                        <w:sz w:val="22"/>
                      </w:rPr>
                    </w:pPr>
                    <w:r>
                      <w:rPr>
                        <w:i/>
                        <w:sz w:val="22"/>
                      </w:rPr>
                      <w:t>(Controlada</w:t>
                    </w:r>
                    <w:r>
                      <w:rPr>
                        <w:i/>
                        <w:spacing w:val="-5"/>
                        <w:sz w:val="22"/>
                      </w:rPr>
                      <w:t> </w:t>
                    </w:r>
                    <w:r>
                      <w:rPr>
                        <w:i/>
                        <w:sz w:val="22"/>
                      </w:rPr>
                      <w:t>da</w:t>
                    </w:r>
                    <w:r>
                      <w:rPr>
                        <w:i/>
                        <w:spacing w:val="-6"/>
                        <w:sz w:val="22"/>
                      </w:rPr>
                      <w:t> </w:t>
                    </w:r>
                    <w:r>
                      <w:rPr>
                        <w:i/>
                        <w:sz w:val="22"/>
                      </w:rPr>
                      <w:t>Petróleo</w:t>
                    </w:r>
                    <w:r>
                      <w:rPr>
                        <w:i/>
                        <w:spacing w:val="-5"/>
                        <w:sz w:val="22"/>
                      </w:rPr>
                      <w:t> </w:t>
                    </w:r>
                    <w:r>
                      <w:rPr>
                        <w:i/>
                        <w:sz w:val="22"/>
                      </w:rPr>
                      <w:t>Brasileiro</w:t>
                    </w:r>
                    <w:r>
                      <w:rPr>
                        <w:i/>
                        <w:spacing w:val="-5"/>
                        <w:sz w:val="22"/>
                      </w:rPr>
                      <w:t> </w:t>
                    </w:r>
                    <w:r>
                      <w:rPr>
                        <w:i/>
                        <w:sz w:val="22"/>
                      </w:rPr>
                      <w:t>S.A.</w:t>
                    </w:r>
                    <w:r>
                      <w:rPr>
                        <w:i/>
                        <w:spacing w:val="-5"/>
                        <w:sz w:val="22"/>
                      </w:rPr>
                      <w:t> </w:t>
                    </w:r>
                    <w:r>
                      <w:rPr>
                        <w:i/>
                        <w:sz w:val="22"/>
                      </w:rPr>
                      <w:t>‐</w:t>
                    </w:r>
                    <w:r>
                      <w:rPr>
                        <w:i/>
                        <w:spacing w:val="-5"/>
                        <w:sz w:val="22"/>
                      </w:rPr>
                      <w:t> </w:t>
                    </w:r>
                    <w:r>
                      <w:rPr>
                        <w:i/>
                        <w:spacing w:val="-2"/>
                        <w:sz w:val="22"/>
                      </w:rPr>
                      <w:t>Petrobras)</w:t>
                    </w:r>
                  </w:p>
                  <w:p>
                    <w:pPr>
                      <w:spacing w:line="290" w:lineRule="exact" w:before="5"/>
                      <w:ind w:left="20" w:right="0" w:firstLine="0"/>
                      <w:jc w:val="left"/>
                      <w:rPr>
                        <w:sz w:val="24"/>
                      </w:rPr>
                    </w:pPr>
                    <w:r>
                      <w:rPr>
                        <w:sz w:val="24"/>
                      </w:rPr>
                      <w:t>Notas</w:t>
                    </w:r>
                    <w:r>
                      <w:rPr>
                        <w:spacing w:val="-1"/>
                        <w:sz w:val="24"/>
                      </w:rPr>
                      <w:t> </w:t>
                    </w:r>
                    <w:r>
                      <w:rPr>
                        <w:spacing w:val="-2"/>
                        <w:sz w:val="24"/>
                      </w:rPr>
                      <w:t>Explicativas</w:t>
                    </w:r>
                  </w:p>
                  <w:p>
                    <w:pPr>
                      <w:spacing w:line="266" w:lineRule="exact" w:before="0"/>
                      <w:ind w:left="20" w:right="0" w:firstLine="0"/>
                      <w:jc w:val="left"/>
                      <w:rPr>
                        <w:i/>
                        <w:sz w:val="22"/>
                      </w:rPr>
                    </w:pPr>
                    <w:r>
                      <w:rPr>
                        <w:i/>
                        <w:sz w:val="22"/>
                      </w:rPr>
                      <w:t>(Em</w:t>
                    </w:r>
                    <w:r>
                      <w:rPr>
                        <w:i/>
                        <w:spacing w:val="-9"/>
                        <w:sz w:val="22"/>
                      </w:rPr>
                      <w:t> </w:t>
                    </w:r>
                    <w:r>
                      <w:rPr>
                        <w:i/>
                        <w:sz w:val="22"/>
                      </w:rPr>
                      <w:t>milhares</w:t>
                    </w:r>
                    <w:r>
                      <w:rPr>
                        <w:i/>
                        <w:spacing w:val="-8"/>
                        <w:sz w:val="22"/>
                      </w:rPr>
                      <w:t> </w:t>
                    </w:r>
                    <w:r>
                      <w:rPr>
                        <w:i/>
                        <w:sz w:val="22"/>
                      </w:rPr>
                      <w:t>de</w:t>
                    </w:r>
                    <w:r>
                      <w:rPr>
                        <w:i/>
                        <w:spacing w:val="-9"/>
                        <w:sz w:val="22"/>
                      </w:rPr>
                      <w:t> </w:t>
                    </w:r>
                    <w:r>
                      <w:rPr>
                        <w:i/>
                        <w:sz w:val="22"/>
                      </w:rPr>
                      <w:t>reais,</w:t>
                    </w:r>
                    <w:r>
                      <w:rPr>
                        <w:i/>
                        <w:spacing w:val="-7"/>
                        <w:sz w:val="22"/>
                      </w:rPr>
                      <w:t> </w:t>
                    </w:r>
                    <w:r>
                      <w:rPr>
                        <w:i/>
                        <w:sz w:val="22"/>
                      </w:rPr>
                      <w:t>exceto</w:t>
                    </w:r>
                    <w:r>
                      <w:rPr>
                        <w:i/>
                        <w:spacing w:val="-9"/>
                        <w:sz w:val="22"/>
                      </w:rPr>
                      <w:t> </w:t>
                    </w:r>
                    <w:r>
                      <w:rPr>
                        <w:i/>
                        <w:sz w:val="22"/>
                      </w:rPr>
                      <w:t>quando</w:t>
                    </w:r>
                    <w:r>
                      <w:rPr>
                        <w:i/>
                        <w:spacing w:val="-7"/>
                        <w:sz w:val="22"/>
                      </w:rPr>
                      <w:t> </w:t>
                    </w:r>
                    <w:r>
                      <w:rPr>
                        <w:i/>
                        <w:sz w:val="22"/>
                      </w:rPr>
                      <w:t>indicado</w:t>
                    </w:r>
                    <w:r>
                      <w:rPr>
                        <w:i/>
                        <w:spacing w:val="-8"/>
                        <w:sz w:val="22"/>
                      </w:rPr>
                      <w:t> </w:t>
                    </w:r>
                    <w:r>
                      <w:rPr>
                        <w:i/>
                        <w:sz w:val="22"/>
                      </w:rPr>
                      <w:t>em</w:t>
                    </w:r>
                    <w:r>
                      <w:rPr>
                        <w:i/>
                        <w:spacing w:val="-8"/>
                        <w:sz w:val="22"/>
                      </w:rPr>
                      <w:t> </w:t>
                    </w:r>
                    <w:r>
                      <w:rPr>
                        <w:i/>
                        <w:spacing w:val="-2"/>
                        <w:sz w:val="22"/>
                      </w:rPr>
                      <w:t>contrário)</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595136">
              <wp:simplePos x="0" y="0"/>
              <wp:positionH relativeFrom="page">
                <wp:posOffset>528319</wp:posOffset>
              </wp:positionH>
              <wp:positionV relativeFrom="page">
                <wp:posOffset>392108</wp:posOffset>
              </wp:positionV>
              <wp:extent cx="2495550" cy="2032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95550" cy="203200"/>
                      </a:xfrm>
                      <a:prstGeom prst="rect">
                        <a:avLst/>
                      </a:prstGeom>
                    </wps:spPr>
                    <wps:txbx>
                      <w:txbxContent>
                        <w:p>
                          <w:pPr>
                            <w:spacing w:line="305"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txbxContent>
                    </wps:txbx>
                    <wps:bodyPr wrap="square" lIns="0" tIns="0" rIns="0" bIns="0" rtlCol="0">
                      <a:noAutofit/>
                    </wps:bodyPr>
                  </wps:wsp>
                </a:graphicData>
              </a:graphic>
            </wp:anchor>
          </w:drawing>
        </mc:Choice>
        <mc:Fallback>
          <w:pict>
            <v:shape style="position:absolute;margin-left:41.599998pt;margin-top:30.874701pt;width:196.5pt;height:16pt;mso-position-horizontal-relative:page;mso-position-vertical-relative:page;z-index:-17721344" type="#_x0000_t202" id="docshape95" filled="false" stroked="false">
              <v:textbox inset="0,0,0,0">
                <w:txbxContent>
                  <w:p>
                    <w:pPr>
                      <w:spacing w:line="305" w:lineRule="exact" w:before="0"/>
                      <w:ind w:left="20" w:right="0" w:firstLine="0"/>
                      <w:jc w:val="left"/>
                      <w:rPr>
                        <w:b/>
                        <w:sz w:val="28"/>
                      </w:rPr>
                    </w:pPr>
                    <w:r>
                      <w:rPr>
                        <w:b/>
                        <w:spacing w:val="-2"/>
                        <w:sz w:val="28"/>
                      </w:rPr>
                      <w:t>ARAUCÁRIA</w:t>
                    </w:r>
                    <w:r>
                      <w:rPr>
                        <w:b/>
                        <w:spacing w:val="4"/>
                        <w:sz w:val="28"/>
                      </w:rPr>
                      <w:t> </w:t>
                    </w:r>
                    <w:r>
                      <w:rPr>
                        <w:b/>
                        <w:spacing w:val="-2"/>
                        <w:sz w:val="28"/>
                      </w:rPr>
                      <w:t>NITROGENADOS</w:t>
                    </w:r>
                    <w:r>
                      <w:rPr>
                        <w:b/>
                        <w:spacing w:val="3"/>
                        <w:sz w:val="28"/>
                      </w:rPr>
                      <w:t> </w:t>
                    </w:r>
                    <w:r>
                      <w:rPr>
                        <w:b/>
                        <w:spacing w:val="-4"/>
                        <w:sz w:val="28"/>
                      </w:rPr>
                      <w:t>S.A.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lowerLetter"/>
      <w:lvlText w:val="%1)"/>
      <w:lvlJc w:val="left"/>
      <w:pPr>
        <w:ind w:left="718" w:hanging="568"/>
        <w:jc w:val="left"/>
      </w:pPr>
      <w:rPr>
        <w:rFonts w:hint="default" w:ascii="Calibri" w:hAnsi="Calibri" w:eastAsia="Calibri" w:cs="Calibri"/>
        <w:b/>
        <w:bCs/>
        <w:i w:val="0"/>
        <w:iCs w:val="0"/>
        <w:spacing w:val="-4"/>
        <w:w w:val="100"/>
        <w:sz w:val="24"/>
        <w:szCs w:val="24"/>
        <w:lang w:val="pt-PT" w:eastAsia="en-US" w:bidi="ar-SA"/>
      </w:rPr>
    </w:lvl>
    <w:lvl w:ilvl="1">
      <w:start w:val="0"/>
      <w:numFmt w:val="bullet"/>
      <w:lvlText w:val="•"/>
      <w:lvlJc w:val="left"/>
      <w:pPr>
        <w:ind w:left="1720" w:hanging="568"/>
      </w:pPr>
      <w:rPr>
        <w:rFonts w:hint="default"/>
        <w:lang w:val="pt-PT" w:eastAsia="en-US" w:bidi="ar-SA"/>
      </w:rPr>
    </w:lvl>
    <w:lvl w:ilvl="2">
      <w:start w:val="0"/>
      <w:numFmt w:val="bullet"/>
      <w:lvlText w:val="•"/>
      <w:lvlJc w:val="left"/>
      <w:pPr>
        <w:ind w:left="2720" w:hanging="568"/>
      </w:pPr>
      <w:rPr>
        <w:rFonts w:hint="default"/>
        <w:lang w:val="pt-PT" w:eastAsia="en-US" w:bidi="ar-SA"/>
      </w:rPr>
    </w:lvl>
    <w:lvl w:ilvl="3">
      <w:start w:val="0"/>
      <w:numFmt w:val="bullet"/>
      <w:lvlText w:val="•"/>
      <w:lvlJc w:val="left"/>
      <w:pPr>
        <w:ind w:left="3721" w:hanging="568"/>
      </w:pPr>
      <w:rPr>
        <w:rFonts w:hint="default"/>
        <w:lang w:val="pt-PT" w:eastAsia="en-US" w:bidi="ar-SA"/>
      </w:rPr>
    </w:lvl>
    <w:lvl w:ilvl="4">
      <w:start w:val="0"/>
      <w:numFmt w:val="bullet"/>
      <w:lvlText w:val="•"/>
      <w:lvlJc w:val="left"/>
      <w:pPr>
        <w:ind w:left="4721" w:hanging="568"/>
      </w:pPr>
      <w:rPr>
        <w:rFonts w:hint="default"/>
        <w:lang w:val="pt-PT" w:eastAsia="en-US" w:bidi="ar-SA"/>
      </w:rPr>
    </w:lvl>
    <w:lvl w:ilvl="5">
      <w:start w:val="0"/>
      <w:numFmt w:val="bullet"/>
      <w:lvlText w:val="•"/>
      <w:lvlJc w:val="left"/>
      <w:pPr>
        <w:ind w:left="5722" w:hanging="568"/>
      </w:pPr>
      <w:rPr>
        <w:rFonts w:hint="default"/>
        <w:lang w:val="pt-PT" w:eastAsia="en-US" w:bidi="ar-SA"/>
      </w:rPr>
    </w:lvl>
    <w:lvl w:ilvl="6">
      <w:start w:val="0"/>
      <w:numFmt w:val="bullet"/>
      <w:lvlText w:val="•"/>
      <w:lvlJc w:val="left"/>
      <w:pPr>
        <w:ind w:left="6722" w:hanging="568"/>
      </w:pPr>
      <w:rPr>
        <w:rFonts w:hint="default"/>
        <w:lang w:val="pt-PT" w:eastAsia="en-US" w:bidi="ar-SA"/>
      </w:rPr>
    </w:lvl>
    <w:lvl w:ilvl="7">
      <w:start w:val="0"/>
      <w:numFmt w:val="bullet"/>
      <w:lvlText w:val="•"/>
      <w:lvlJc w:val="left"/>
      <w:pPr>
        <w:ind w:left="7723" w:hanging="568"/>
      </w:pPr>
      <w:rPr>
        <w:rFonts w:hint="default"/>
        <w:lang w:val="pt-PT" w:eastAsia="en-US" w:bidi="ar-SA"/>
      </w:rPr>
    </w:lvl>
    <w:lvl w:ilvl="8">
      <w:start w:val="0"/>
      <w:numFmt w:val="bullet"/>
      <w:lvlText w:val="•"/>
      <w:lvlJc w:val="left"/>
      <w:pPr>
        <w:ind w:left="8723" w:hanging="568"/>
      </w:pPr>
      <w:rPr>
        <w:rFonts w:hint="default"/>
        <w:lang w:val="pt-PT" w:eastAsia="en-US" w:bidi="ar-SA"/>
      </w:rPr>
    </w:lvl>
  </w:abstractNum>
  <w:abstractNum w:abstractNumId="15">
    <w:multiLevelType w:val="hybridMultilevel"/>
    <w:lvl w:ilvl="0">
      <w:start w:val="1"/>
      <w:numFmt w:val="lowerRoman"/>
      <w:lvlText w:val="(%1)"/>
      <w:lvlJc w:val="left"/>
      <w:pPr>
        <w:ind w:left="1232" w:hanging="720"/>
        <w:jc w:val="left"/>
      </w:pPr>
      <w:rPr>
        <w:rFonts w:hint="default" w:ascii="Calibri" w:hAnsi="Calibri" w:eastAsia="Calibri" w:cs="Calibri"/>
        <w:b w:val="0"/>
        <w:bCs w:val="0"/>
        <w:i w:val="0"/>
        <w:iCs w:val="0"/>
        <w:spacing w:val="-1"/>
        <w:w w:val="100"/>
        <w:sz w:val="18"/>
        <w:szCs w:val="18"/>
        <w:lang w:val="pt-PT" w:eastAsia="en-US" w:bidi="ar-SA"/>
      </w:rPr>
    </w:lvl>
    <w:lvl w:ilvl="1">
      <w:start w:val="0"/>
      <w:numFmt w:val="bullet"/>
      <w:lvlText w:val="•"/>
      <w:lvlJc w:val="left"/>
      <w:pPr>
        <w:ind w:left="2188" w:hanging="720"/>
      </w:pPr>
      <w:rPr>
        <w:rFonts w:hint="default"/>
        <w:lang w:val="pt-PT" w:eastAsia="en-US" w:bidi="ar-SA"/>
      </w:rPr>
    </w:lvl>
    <w:lvl w:ilvl="2">
      <w:start w:val="0"/>
      <w:numFmt w:val="bullet"/>
      <w:lvlText w:val="•"/>
      <w:lvlJc w:val="left"/>
      <w:pPr>
        <w:ind w:left="3136" w:hanging="720"/>
      </w:pPr>
      <w:rPr>
        <w:rFonts w:hint="default"/>
        <w:lang w:val="pt-PT" w:eastAsia="en-US" w:bidi="ar-SA"/>
      </w:rPr>
    </w:lvl>
    <w:lvl w:ilvl="3">
      <w:start w:val="0"/>
      <w:numFmt w:val="bullet"/>
      <w:lvlText w:val="•"/>
      <w:lvlJc w:val="left"/>
      <w:pPr>
        <w:ind w:left="4085" w:hanging="720"/>
      </w:pPr>
      <w:rPr>
        <w:rFonts w:hint="default"/>
        <w:lang w:val="pt-PT" w:eastAsia="en-US" w:bidi="ar-SA"/>
      </w:rPr>
    </w:lvl>
    <w:lvl w:ilvl="4">
      <w:start w:val="0"/>
      <w:numFmt w:val="bullet"/>
      <w:lvlText w:val="•"/>
      <w:lvlJc w:val="left"/>
      <w:pPr>
        <w:ind w:left="5033" w:hanging="720"/>
      </w:pPr>
      <w:rPr>
        <w:rFonts w:hint="default"/>
        <w:lang w:val="pt-PT" w:eastAsia="en-US" w:bidi="ar-SA"/>
      </w:rPr>
    </w:lvl>
    <w:lvl w:ilvl="5">
      <w:start w:val="0"/>
      <w:numFmt w:val="bullet"/>
      <w:lvlText w:val="•"/>
      <w:lvlJc w:val="left"/>
      <w:pPr>
        <w:ind w:left="5982" w:hanging="720"/>
      </w:pPr>
      <w:rPr>
        <w:rFonts w:hint="default"/>
        <w:lang w:val="pt-PT" w:eastAsia="en-US" w:bidi="ar-SA"/>
      </w:rPr>
    </w:lvl>
    <w:lvl w:ilvl="6">
      <w:start w:val="0"/>
      <w:numFmt w:val="bullet"/>
      <w:lvlText w:val="•"/>
      <w:lvlJc w:val="left"/>
      <w:pPr>
        <w:ind w:left="6930" w:hanging="720"/>
      </w:pPr>
      <w:rPr>
        <w:rFonts w:hint="default"/>
        <w:lang w:val="pt-PT" w:eastAsia="en-US" w:bidi="ar-SA"/>
      </w:rPr>
    </w:lvl>
    <w:lvl w:ilvl="7">
      <w:start w:val="0"/>
      <w:numFmt w:val="bullet"/>
      <w:lvlText w:val="•"/>
      <w:lvlJc w:val="left"/>
      <w:pPr>
        <w:ind w:left="7879" w:hanging="720"/>
      </w:pPr>
      <w:rPr>
        <w:rFonts w:hint="default"/>
        <w:lang w:val="pt-PT" w:eastAsia="en-US" w:bidi="ar-SA"/>
      </w:rPr>
    </w:lvl>
    <w:lvl w:ilvl="8">
      <w:start w:val="0"/>
      <w:numFmt w:val="bullet"/>
      <w:lvlText w:val="•"/>
      <w:lvlJc w:val="left"/>
      <w:pPr>
        <w:ind w:left="8827" w:hanging="720"/>
      </w:pPr>
      <w:rPr>
        <w:rFonts w:hint="default"/>
        <w:lang w:val="pt-PT" w:eastAsia="en-US" w:bidi="ar-SA"/>
      </w:rPr>
    </w:lvl>
  </w:abstractNum>
  <w:abstractNum w:abstractNumId="14">
    <w:multiLevelType w:val="hybridMultilevel"/>
    <w:lvl w:ilvl="0">
      <w:start w:val="15"/>
      <w:numFmt w:val="decimal"/>
      <w:lvlText w:val="%1."/>
      <w:lvlJc w:val="left"/>
      <w:pPr>
        <w:ind w:left="718" w:hanging="568"/>
        <w:jc w:val="left"/>
      </w:pPr>
      <w:rPr>
        <w:rFonts w:hint="default" w:ascii="Calibri" w:hAnsi="Calibri" w:eastAsia="Calibri" w:cs="Calibri"/>
        <w:b/>
        <w:bCs/>
        <w:i w:val="0"/>
        <w:iCs w:val="0"/>
        <w:spacing w:val="0"/>
        <w:w w:val="98"/>
        <w:sz w:val="26"/>
        <w:szCs w:val="26"/>
        <w:lang w:val="pt-PT" w:eastAsia="en-US" w:bidi="ar-SA"/>
      </w:rPr>
    </w:lvl>
    <w:lvl w:ilvl="1">
      <w:start w:val="1"/>
      <w:numFmt w:val="decimal"/>
      <w:lvlText w:val="%1.%2."/>
      <w:lvlJc w:val="left"/>
      <w:pPr>
        <w:ind w:left="860" w:hanging="710"/>
        <w:jc w:val="left"/>
      </w:pPr>
      <w:rPr>
        <w:rFonts w:hint="default" w:ascii="Calibri" w:hAnsi="Calibri" w:eastAsia="Calibri" w:cs="Calibri"/>
        <w:b/>
        <w:bCs/>
        <w:i w:val="0"/>
        <w:iCs w:val="0"/>
        <w:spacing w:val="-5"/>
        <w:w w:val="100"/>
        <w:sz w:val="24"/>
        <w:szCs w:val="24"/>
        <w:lang w:val="pt-PT" w:eastAsia="en-US" w:bidi="ar-SA"/>
      </w:rPr>
    </w:lvl>
    <w:lvl w:ilvl="2">
      <w:start w:val="0"/>
      <w:numFmt w:val="bullet"/>
      <w:lvlText w:val="•"/>
      <w:lvlJc w:val="left"/>
      <w:pPr>
        <w:ind w:left="1956" w:hanging="710"/>
      </w:pPr>
      <w:rPr>
        <w:rFonts w:hint="default"/>
        <w:lang w:val="pt-PT" w:eastAsia="en-US" w:bidi="ar-SA"/>
      </w:rPr>
    </w:lvl>
    <w:lvl w:ilvl="3">
      <w:start w:val="0"/>
      <w:numFmt w:val="bullet"/>
      <w:lvlText w:val="•"/>
      <w:lvlJc w:val="left"/>
      <w:pPr>
        <w:ind w:left="3052" w:hanging="710"/>
      </w:pPr>
      <w:rPr>
        <w:rFonts w:hint="default"/>
        <w:lang w:val="pt-PT" w:eastAsia="en-US" w:bidi="ar-SA"/>
      </w:rPr>
    </w:lvl>
    <w:lvl w:ilvl="4">
      <w:start w:val="0"/>
      <w:numFmt w:val="bullet"/>
      <w:lvlText w:val="•"/>
      <w:lvlJc w:val="left"/>
      <w:pPr>
        <w:ind w:left="4148" w:hanging="710"/>
      </w:pPr>
      <w:rPr>
        <w:rFonts w:hint="default"/>
        <w:lang w:val="pt-PT" w:eastAsia="en-US" w:bidi="ar-SA"/>
      </w:rPr>
    </w:lvl>
    <w:lvl w:ilvl="5">
      <w:start w:val="0"/>
      <w:numFmt w:val="bullet"/>
      <w:lvlText w:val="•"/>
      <w:lvlJc w:val="left"/>
      <w:pPr>
        <w:ind w:left="5244" w:hanging="710"/>
      </w:pPr>
      <w:rPr>
        <w:rFonts w:hint="default"/>
        <w:lang w:val="pt-PT" w:eastAsia="en-US" w:bidi="ar-SA"/>
      </w:rPr>
    </w:lvl>
    <w:lvl w:ilvl="6">
      <w:start w:val="0"/>
      <w:numFmt w:val="bullet"/>
      <w:lvlText w:val="•"/>
      <w:lvlJc w:val="left"/>
      <w:pPr>
        <w:ind w:left="6340" w:hanging="710"/>
      </w:pPr>
      <w:rPr>
        <w:rFonts w:hint="default"/>
        <w:lang w:val="pt-PT" w:eastAsia="en-US" w:bidi="ar-SA"/>
      </w:rPr>
    </w:lvl>
    <w:lvl w:ilvl="7">
      <w:start w:val="0"/>
      <w:numFmt w:val="bullet"/>
      <w:lvlText w:val="•"/>
      <w:lvlJc w:val="left"/>
      <w:pPr>
        <w:ind w:left="7436" w:hanging="710"/>
      </w:pPr>
      <w:rPr>
        <w:rFonts w:hint="default"/>
        <w:lang w:val="pt-PT" w:eastAsia="en-US" w:bidi="ar-SA"/>
      </w:rPr>
    </w:lvl>
    <w:lvl w:ilvl="8">
      <w:start w:val="0"/>
      <w:numFmt w:val="bullet"/>
      <w:lvlText w:val="•"/>
      <w:lvlJc w:val="left"/>
      <w:pPr>
        <w:ind w:left="8532" w:hanging="710"/>
      </w:pPr>
      <w:rPr>
        <w:rFonts w:hint="default"/>
        <w:lang w:val="pt-PT" w:eastAsia="en-US" w:bidi="ar-SA"/>
      </w:rPr>
    </w:lvl>
  </w:abstractNum>
  <w:abstractNum w:abstractNumId="13">
    <w:multiLevelType w:val="hybridMultilevel"/>
    <w:lvl w:ilvl="0">
      <w:start w:val="1"/>
      <w:numFmt w:val="lowerRoman"/>
      <w:lvlText w:val="(%1)"/>
      <w:lvlJc w:val="left"/>
      <w:pPr>
        <w:ind w:left="917" w:hanging="722"/>
        <w:jc w:val="left"/>
      </w:pPr>
      <w:rPr>
        <w:rFonts w:hint="default"/>
        <w:spacing w:val="-3"/>
        <w:w w:val="100"/>
        <w:lang w:val="pt-PT" w:eastAsia="en-US" w:bidi="ar-SA"/>
      </w:rPr>
    </w:lvl>
    <w:lvl w:ilvl="1">
      <w:start w:val="0"/>
      <w:numFmt w:val="bullet"/>
      <w:lvlText w:val="•"/>
      <w:lvlJc w:val="left"/>
      <w:pPr>
        <w:ind w:left="1900" w:hanging="722"/>
      </w:pPr>
      <w:rPr>
        <w:rFonts w:hint="default"/>
        <w:lang w:val="pt-PT" w:eastAsia="en-US" w:bidi="ar-SA"/>
      </w:rPr>
    </w:lvl>
    <w:lvl w:ilvl="2">
      <w:start w:val="0"/>
      <w:numFmt w:val="bullet"/>
      <w:lvlText w:val="•"/>
      <w:lvlJc w:val="left"/>
      <w:pPr>
        <w:ind w:left="2880" w:hanging="722"/>
      </w:pPr>
      <w:rPr>
        <w:rFonts w:hint="default"/>
        <w:lang w:val="pt-PT" w:eastAsia="en-US" w:bidi="ar-SA"/>
      </w:rPr>
    </w:lvl>
    <w:lvl w:ilvl="3">
      <w:start w:val="0"/>
      <w:numFmt w:val="bullet"/>
      <w:lvlText w:val="•"/>
      <w:lvlJc w:val="left"/>
      <w:pPr>
        <w:ind w:left="3861" w:hanging="722"/>
      </w:pPr>
      <w:rPr>
        <w:rFonts w:hint="default"/>
        <w:lang w:val="pt-PT" w:eastAsia="en-US" w:bidi="ar-SA"/>
      </w:rPr>
    </w:lvl>
    <w:lvl w:ilvl="4">
      <w:start w:val="0"/>
      <w:numFmt w:val="bullet"/>
      <w:lvlText w:val="•"/>
      <w:lvlJc w:val="left"/>
      <w:pPr>
        <w:ind w:left="4841" w:hanging="722"/>
      </w:pPr>
      <w:rPr>
        <w:rFonts w:hint="default"/>
        <w:lang w:val="pt-PT" w:eastAsia="en-US" w:bidi="ar-SA"/>
      </w:rPr>
    </w:lvl>
    <w:lvl w:ilvl="5">
      <w:start w:val="0"/>
      <w:numFmt w:val="bullet"/>
      <w:lvlText w:val="•"/>
      <w:lvlJc w:val="left"/>
      <w:pPr>
        <w:ind w:left="5822" w:hanging="722"/>
      </w:pPr>
      <w:rPr>
        <w:rFonts w:hint="default"/>
        <w:lang w:val="pt-PT" w:eastAsia="en-US" w:bidi="ar-SA"/>
      </w:rPr>
    </w:lvl>
    <w:lvl w:ilvl="6">
      <w:start w:val="0"/>
      <w:numFmt w:val="bullet"/>
      <w:lvlText w:val="•"/>
      <w:lvlJc w:val="left"/>
      <w:pPr>
        <w:ind w:left="6802" w:hanging="722"/>
      </w:pPr>
      <w:rPr>
        <w:rFonts w:hint="default"/>
        <w:lang w:val="pt-PT" w:eastAsia="en-US" w:bidi="ar-SA"/>
      </w:rPr>
    </w:lvl>
    <w:lvl w:ilvl="7">
      <w:start w:val="0"/>
      <w:numFmt w:val="bullet"/>
      <w:lvlText w:val="•"/>
      <w:lvlJc w:val="left"/>
      <w:pPr>
        <w:ind w:left="7783" w:hanging="722"/>
      </w:pPr>
      <w:rPr>
        <w:rFonts w:hint="default"/>
        <w:lang w:val="pt-PT" w:eastAsia="en-US" w:bidi="ar-SA"/>
      </w:rPr>
    </w:lvl>
    <w:lvl w:ilvl="8">
      <w:start w:val="0"/>
      <w:numFmt w:val="bullet"/>
      <w:lvlText w:val="•"/>
      <w:lvlJc w:val="left"/>
      <w:pPr>
        <w:ind w:left="8763" w:hanging="722"/>
      </w:pPr>
      <w:rPr>
        <w:rFonts w:hint="default"/>
        <w:lang w:val="pt-PT" w:eastAsia="en-US" w:bidi="ar-SA"/>
      </w:rPr>
    </w:lvl>
  </w:abstractNum>
  <w:abstractNum w:abstractNumId="12">
    <w:multiLevelType w:val="hybridMultilevel"/>
    <w:lvl w:ilvl="0">
      <w:start w:val="1"/>
      <w:numFmt w:val="lowerRoman"/>
      <w:lvlText w:val="(%1)"/>
      <w:lvlJc w:val="left"/>
      <w:pPr>
        <w:ind w:left="1232" w:hanging="722"/>
        <w:jc w:val="left"/>
      </w:pPr>
      <w:rPr>
        <w:rFonts w:hint="default"/>
        <w:spacing w:val="-2"/>
        <w:w w:val="99"/>
        <w:lang w:val="pt-PT" w:eastAsia="en-US" w:bidi="ar-SA"/>
      </w:rPr>
    </w:lvl>
    <w:lvl w:ilvl="1">
      <w:start w:val="0"/>
      <w:numFmt w:val="bullet"/>
      <w:lvlText w:val="•"/>
      <w:lvlJc w:val="left"/>
      <w:pPr>
        <w:ind w:left="2188" w:hanging="722"/>
      </w:pPr>
      <w:rPr>
        <w:rFonts w:hint="default"/>
        <w:lang w:val="pt-PT" w:eastAsia="en-US" w:bidi="ar-SA"/>
      </w:rPr>
    </w:lvl>
    <w:lvl w:ilvl="2">
      <w:start w:val="0"/>
      <w:numFmt w:val="bullet"/>
      <w:lvlText w:val="•"/>
      <w:lvlJc w:val="left"/>
      <w:pPr>
        <w:ind w:left="3136" w:hanging="722"/>
      </w:pPr>
      <w:rPr>
        <w:rFonts w:hint="default"/>
        <w:lang w:val="pt-PT" w:eastAsia="en-US" w:bidi="ar-SA"/>
      </w:rPr>
    </w:lvl>
    <w:lvl w:ilvl="3">
      <w:start w:val="0"/>
      <w:numFmt w:val="bullet"/>
      <w:lvlText w:val="•"/>
      <w:lvlJc w:val="left"/>
      <w:pPr>
        <w:ind w:left="4085" w:hanging="722"/>
      </w:pPr>
      <w:rPr>
        <w:rFonts w:hint="default"/>
        <w:lang w:val="pt-PT" w:eastAsia="en-US" w:bidi="ar-SA"/>
      </w:rPr>
    </w:lvl>
    <w:lvl w:ilvl="4">
      <w:start w:val="0"/>
      <w:numFmt w:val="bullet"/>
      <w:lvlText w:val="•"/>
      <w:lvlJc w:val="left"/>
      <w:pPr>
        <w:ind w:left="5033" w:hanging="722"/>
      </w:pPr>
      <w:rPr>
        <w:rFonts w:hint="default"/>
        <w:lang w:val="pt-PT" w:eastAsia="en-US" w:bidi="ar-SA"/>
      </w:rPr>
    </w:lvl>
    <w:lvl w:ilvl="5">
      <w:start w:val="0"/>
      <w:numFmt w:val="bullet"/>
      <w:lvlText w:val="•"/>
      <w:lvlJc w:val="left"/>
      <w:pPr>
        <w:ind w:left="5982" w:hanging="722"/>
      </w:pPr>
      <w:rPr>
        <w:rFonts w:hint="default"/>
        <w:lang w:val="pt-PT" w:eastAsia="en-US" w:bidi="ar-SA"/>
      </w:rPr>
    </w:lvl>
    <w:lvl w:ilvl="6">
      <w:start w:val="0"/>
      <w:numFmt w:val="bullet"/>
      <w:lvlText w:val="•"/>
      <w:lvlJc w:val="left"/>
      <w:pPr>
        <w:ind w:left="6930" w:hanging="722"/>
      </w:pPr>
      <w:rPr>
        <w:rFonts w:hint="default"/>
        <w:lang w:val="pt-PT" w:eastAsia="en-US" w:bidi="ar-SA"/>
      </w:rPr>
    </w:lvl>
    <w:lvl w:ilvl="7">
      <w:start w:val="0"/>
      <w:numFmt w:val="bullet"/>
      <w:lvlText w:val="•"/>
      <w:lvlJc w:val="left"/>
      <w:pPr>
        <w:ind w:left="7879" w:hanging="722"/>
      </w:pPr>
      <w:rPr>
        <w:rFonts w:hint="default"/>
        <w:lang w:val="pt-PT" w:eastAsia="en-US" w:bidi="ar-SA"/>
      </w:rPr>
    </w:lvl>
    <w:lvl w:ilvl="8">
      <w:start w:val="0"/>
      <w:numFmt w:val="bullet"/>
      <w:lvlText w:val="•"/>
      <w:lvlJc w:val="left"/>
      <w:pPr>
        <w:ind w:left="8827" w:hanging="722"/>
      </w:pPr>
      <w:rPr>
        <w:rFonts w:hint="default"/>
        <w:lang w:val="pt-PT" w:eastAsia="en-US" w:bidi="ar-SA"/>
      </w:rPr>
    </w:lvl>
  </w:abstractNum>
  <w:abstractNum w:abstractNumId="11">
    <w:multiLevelType w:val="hybridMultilevel"/>
    <w:lvl w:ilvl="0">
      <w:start w:val="1"/>
      <w:numFmt w:val="lowerLetter"/>
      <w:lvlText w:val="%1)"/>
      <w:lvlJc w:val="left"/>
      <w:pPr>
        <w:ind w:left="378" w:hanging="229"/>
        <w:jc w:val="left"/>
      </w:pPr>
      <w:rPr>
        <w:rFonts w:hint="default" w:ascii="Calibri" w:hAnsi="Calibri" w:eastAsia="Calibri" w:cs="Calibri"/>
        <w:b/>
        <w:bCs/>
        <w:i w:val="0"/>
        <w:iCs w:val="0"/>
        <w:spacing w:val="-3"/>
        <w:w w:val="99"/>
        <w:sz w:val="22"/>
        <w:szCs w:val="22"/>
        <w:lang w:val="pt-PT" w:eastAsia="en-US" w:bidi="ar-SA"/>
      </w:rPr>
    </w:lvl>
    <w:lvl w:ilvl="1">
      <w:start w:val="0"/>
      <w:numFmt w:val="bullet"/>
      <w:lvlText w:val="•"/>
      <w:lvlJc w:val="left"/>
      <w:pPr>
        <w:ind w:left="1414" w:hanging="229"/>
      </w:pPr>
      <w:rPr>
        <w:rFonts w:hint="default"/>
        <w:lang w:val="pt-PT" w:eastAsia="en-US" w:bidi="ar-SA"/>
      </w:rPr>
    </w:lvl>
    <w:lvl w:ilvl="2">
      <w:start w:val="0"/>
      <w:numFmt w:val="bullet"/>
      <w:lvlText w:val="•"/>
      <w:lvlJc w:val="left"/>
      <w:pPr>
        <w:ind w:left="2448" w:hanging="229"/>
      </w:pPr>
      <w:rPr>
        <w:rFonts w:hint="default"/>
        <w:lang w:val="pt-PT" w:eastAsia="en-US" w:bidi="ar-SA"/>
      </w:rPr>
    </w:lvl>
    <w:lvl w:ilvl="3">
      <w:start w:val="0"/>
      <w:numFmt w:val="bullet"/>
      <w:lvlText w:val="•"/>
      <w:lvlJc w:val="left"/>
      <w:pPr>
        <w:ind w:left="3483" w:hanging="229"/>
      </w:pPr>
      <w:rPr>
        <w:rFonts w:hint="default"/>
        <w:lang w:val="pt-PT" w:eastAsia="en-US" w:bidi="ar-SA"/>
      </w:rPr>
    </w:lvl>
    <w:lvl w:ilvl="4">
      <w:start w:val="0"/>
      <w:numFmt w:val="bullet"/>
      <w:lvlText w:val="•"/>
      <w:lvlJc w:val="left"/>
      <w:pPr>
        <w:ind w:left="4517" w:hanging="229"/>
      </w:pPr>
      <w:rPr>
        <w:rFonts w:hint="default"/>
        <w:lang w:val="pt-PT" w:eastAsia="en-US" w:bidi="ar-SA"/>
      </w:rPr>
    </w:lvl>
    <w:lvl w:ilvl="5">
      <w:start w:val="0"/>
      <w:numFmt w:val="bullet"/>
      <w:lvlText w:val="•"/>
      <w:lvlJc w:val="left"/>
      <w:pPr>
        <w:ind w:left="5552" w:hanging="229"/>
      </w:pPr>
      <w:rPr>
        <w:rFonts w:hint="default"/>
        <w:lang w:val="pt-PT" w:eastAsia="en-US" w:bidi="ar-SA"/>
      </w:rPr>
    </w:lvl>
    <w:lvl w:ilvl="6">
      <w:start w:val="0"/>
      <w:numFmt w:val="bullet"/>
      <w:lvlText w:val="•"/>
      <w:lvlJc w:val="left"/>
      <w:pPr>
        <w:ind w:left="6586" w:hanging="229"/>
      </w:pPr>
      <w:rPr>
        <w:rFonts w:hint="default"/>
        <w:lang w:val="pt-PT" w:eastAsia="en-US" w:bidi="ar-SA"/>
      </w:rPr>
    </w:lvl>
    <w:lvl w:ilvl="7">
      <w:start w:val="0"/>
      <w:numFmt w:val="bullet"/>
      <w:lvlText w:val="•"/>
      <w:lvlJc w:val="left"/>
      <w:pPr>
        <w:ind w:left="7621" w:hanging="229"/>
      </w:pPr>
      <w:rPr>
        <w:rFonts w:hint="default"/>
        <w:lang w:val="pt-PT" w:eastAsia="en-US" w:bidi="ar-SA"/>
      </w:rPr>
    </w:lvl>
    <w:lvl w:ilvl="8">
      <w:start w:val="0"/>
      <w:numFmt w:val="bullet"/>
      <w:lvlText w:val="•"/>
      <w:lvlJc w:val="left"/>
      <w:pPr>
        <w:ind w:left="8655" w:hanging="229"/>
      </w:pPr>
      <w:rPr>
        <w:rFonts w:hint="default"/>
        <w:lang w:val="pt-PT" w:eastAsia="en-US" w:bidi="ar-SA"/>
      </w:rPr>
    </w:lvl>
  </w:abstractNum>
  <w:abstractNum w:abstractNumId="10">
    <w:multiLevelType w:val="hybridMultilevel"/>
    <w:lvl w:ilvl="0">
      <w:start w:val="1"/>
      <w:numFmt w:val="lowerRoman"/>
      <w:lvlText w:val="(%1)"/>
      <w:lvlJc w:val="left"/>
      <w:pPr>
        <w:ind w:left="151" w:hanging="272"/>
        <w:jc w:val="left"/>
      </w:pPr>
      <w:rPr>
        <w:rFonts w:hint="default" w:ascii="Calibri" w:hAnsi="Calibri" w:eastAsia="Calibri" w:cs="Calibri"/>
        <w:b w:val="0"/>
        <w:bCs w:val="0"/>
        <w:i w:val="0"/>
        <w:iCs w:val="0"/>
        <w:spacing w:val="-1"/>
        <w:w w:val="99"/>
        <w:sz w:val="22"/>
        <w:szCs w:val="22"/>
        <w:lang w:val="pt-PT" w:eastAsia="en-US" w:bidi="ar-SA"/>
      </w:rPr>
    </w:lvl>
    <w:lvl w:ilvl="1">
      <w:start w:val="0"/>
      <w:numFmt w:val="bullet"/>
      <w:lvlText w:val="•"/>
      <w:lvlJc w:val="left"/>
      <w:pPr>
        <w:ind w:left="1216" w:hanging="272"/>
      </w:pPr>
      <w:rPr>
        <w:rFonts w:hint="default"/>
        <w:lang w:val="pt-PT" w:eastAsia="en-US" w:bidi="ar-SA"/>
      </w:rPr>
    </w:lvl>
    <w:lvl w:ilvl="2">
      <w:start w:val="0"/>
      <w:numFmt w:val="bullet"/>
      <w:lvlText w:val="•"/>
      <w:lvlJc w:val="left"/>
      <w:pPr>
        <w:ind w:left="2272" w:hanging="272"/>
      </w:pPr>
      <w:rPr>
        <w:rFonts w:hint="default"/>
        <w:lang w:val="pt-PT" w:eastAsia="en-US" w:bidi="ar-SA"/>
      </w:rPr>
    </w:lvl>
    <w:lvl w:ilvl="3">
      <w:start w:val="0"/>
      <w:numFmt w:val="bullet"/>
      <w:lvlText w:val="•"/>
      <w:lvlJc w:val="left"/>
      <w:pPr>
        <w:ind w:left="3329" w:hanging="272"/>
      </w:pPr>
      <w:rPr>
        <w:rFonts w:hint="default"/>
        <w:lang w:val="pt-PT" w:eastAsia="en-US" w:bidi="ar-SA"/>
      </w:rPr>
    </w:lvl>
    <w:lvl w:ilvl="4">
      <w:start w:val="0"/>
      <w:numFmt w:val="bullet"/>
      <w:lvlText w:val="•"/>
      <w:lvlJc w:val="left"/>
      <w:pPr>
        <w:ind w:left="4385" w:hanging="272"/>
      </w:pPr>
      <w:rPr>
        <w:rFonts w:hint="default"/>
        <w:lang w:val="pt-PT" w:eastAsia="en-US" w:bidi="ar-SA"/>
      </w:rPr>
    </w:lvl>
    <w:lvl w:ilvl="5">
      <w:start w:val="0"/>
      <w:numFmt w:val="bullet"/>
      <w:lvlText w:val="•"/>
      <w:lvlJc w:val="left"/>
      <w:pPr>
        <w:ind w:left="5442" w:hanging="272"/>
      </w:pPr>
      <w:rPr>
        <w:rFonts w:hint="default"/>
        <w:lang w:val="pt-PT" w:eastAsia="en-US" w:bidi="ar-SA"/>
      </w:rPr>
    </w:lvl>
    <w:lvl w:ilvl="6">
      <w:start w:val="0"/>
      <w:numFmt w:val="bullet"/>
      <w:lvlText w:val="•"/>
      <w:lvlJc w:val="left"/>
      <w:pPr>
        <w:ind w:left="6498" w:hanging="272"/>
      </w:pPr>
      <w:rPr>
        <w:rFonts w:hint="default"/>
        <w:lang w:val="pt-PT" w:eastAsia="en-US" w:bidi="ar-SA"/>
      </w:rPr>
    </w:lvl>
    <w:lvl w:ilvl="7">
      <w:start w:val="0"/>
      <w:numFmt w:val="bullet"/>
      <w:lvlText w:val="•"/>
      <w:lvlJc w:val="left"/>
      <w:pPr>
        <w:ind w:left="7555" w:hanging="272"/>
      </w:pPr>
      <w:rPr>
        <w:rFonts w:hint="default"/>
        <w:lang w:val="pt-PT" w:eastAsia="en-US" w:bidi="ar-SA"/>
      </w:rPr>
    </w:lvl>
    <w:lvl w:ilvl="8">
      <w:start w:val="0"/>
      <w:numFmt w:val="bullet"/>
      <w:lvlText w:val="•"/>
      <w:lvlJc w:val="left"/>
      <w:pPr>
        <w:ind w:left="8611" w:hanging="272"/>
      </w:pPr>
      <w:rPr>
        <w:rFonts w:hint="default"/>
        <w:lang w:val="pt-PT" w:eastAsia="en-US" w:bidi="ar-SA"/>
      </w:rPr>
    </w:lvl>
  </w:abstractNum>
  <w:abstractNum w:abstractNumId="9">
    <w:multiLevelType w:val="hybridMultilevel"/>
    <w:lvl w:ilvl="0">
      <w:start w:val="1"/>
      <w:numFmt w:val="lowerRoman"/>
      <w:lvlText w:val="(%1)"/>
      <w:lvlJc w:val="left"/>
      <w:pPr>
        <w:ind w:left="1232" w:hanging="722"/>
        <w:jc w:val="left"/>
      </w:pPr>
      <w:rPr>
        <w:rFonts w:hint="default" w:ascii="Calibri" w:hAnsi="Calibri" w:eastAsia="Calibri" w:cs="Calibri"/>
        <w:b w:val="0"/>
        <w:bCs w:val="0"/>
        <w:i w:val="0"/>
        <w:iCs w:val="0"/>
        <w:spacing w:val="-1"/>
        <w:w w:val="99"/>
        <w:sz w:val="22"/>
        <w:szCs w:val="22"/>
        <w:lang w:val="pt-PT" w:eastAsia="en-US" w:bidi="ar-SA"/>
      </w:rPr>
    </w:lvl>
    <w:lvl w:ilvl="1">
      <w:start w:val="0"/>
      <w:numFmt w:val="bullet"/>
      <w:lvlText w:val="•"/>
      <w:lvlJc w:val="left"/>
      <w:pPr>
        <w:ind w:left="2188" w:hanging="722"/>
      </w:pPr>
      <w:rPr>
        <w:rFonts w:hint="default"/>
        <w:lang w:val="pt-PT" w:eastAsia="en-US" w:bidi="ar-SA"/>
      </w:rPr>
    </w:lvl>
    <w:lvl w:ilvl="2">
      <w:start w:val="0"/>
      <w:numFmt w:val="bullet"/>
      <w:lvlText w:val="•"/>
      <w:lvlJc w:val="left"/>
      <w:pPr>
        <w:ind w:left="3136" w:hanging="722"/>
      </w:pPr>
      <w:rPr>
        <w:rFonts w:hint="default"/>
        <w:lang w:val="pt-PT" w:eastAsia="en-US" w:bidi="ar-SA"/>
      </w:rPr>
    </w:lvl>
    <w:lvl w:ilvl="3">
      <w:start w:val="0"/>
      <w:numFmt w:val="bullet"/>
      <w:lvlText w:val="•"/>
      <w:lvlJc w:val="left"/>
      <w:pPr>
        <w:ind w:left="4085" w:hanging="722"/>
      </w:pPr>
      <w:rPr>
        <w:rFonts w:hint="default"/>
        <w:lang w:val="pt-PT" w:eastAsia="en-US" w:bidi="ar-SA"/>
      </w:rPr>
    </w:lvl>
    <w:lvl w:ilvl="4">
      <w:start w:val="0"/>
      <w:numFmt w:val="bullet"/>
      <w:lvlText w:val="•"/>
      <w:lvlJc w:val="left"/>
      <w:pPr>
        <w:ind w:left="5033" w:hanging="722"/>
      </w:pPr>
      <w:rPr>
        <w:rFonts w:hint="default"/>
        <w:lang w:val="pt-PT" w:eastAsia="en-US" w:bidi="ar-SA"/>
      </w:rPr>
    </w:lvl>
    <w:lvl w:ilvl="5">
      <w:start w:val="0"/>
      <w:numFmt w:val="bullet"/>
      <w:lvlText w:val="•"/>
      <w:lvlJc w:val="left"/>
      <w:pPr>
        <w:ind w:left="5982" w:hanging="722"/>
      </w:pPr>
      <w:rPr>
        <w:rFonts w:hint="default"/>
        <w:lang w:val="pt-PT" w:eastAsia="en-US" w:bidi="ar-SA"/>
      </w:rPr>
    </w:lvl>
    <w:lvl w:ilvl="6">
      <w:start w:val="0"/>
      <w:numFmt w:val="bullet"/>
      <w:lvlText w:val="•"/>
      <w:lvlJc w:val="left"/>
      <w:pPr>
        <w:ind w:left="6930" w:hanging="722"/>
      </w:pPr>
      <w:rPr>
        <w:rFonts w:hint="default"/>
        <w:lang w:val="pt-PT" w:eastAsia="en-US" w:bidi="ar-SA"/>
      </w:rPr>
    </w:lvl>
    <w:lvl w:ilvl="7">
      <w:start w:val="0"/>
      <w:numFmt w:val="bullet"/>
      <w:lvlText w:val="•"/>
      <w:lvlJc w:val="left"/>
      <w:pPr>
        <w:ind w:left="7879" w:hanging="722"/>
      </w:pPr>
      <w:rPr>
        <w:rFonts w:hint="default"/>
        <w:lang w:val="pt-PT" w:eastAsia="en-US" w:bidi="ar-SA"/>
      </w:rPr>
    </w:lvl>
    <w:lvl w:ilvl="8">
      <w:start w:val="0"/>
      <w:numFmt w:val="bullet"/>
      <w:lvlText w:val="•"/>
      <w:lvlJc w:val="left"/>
      <w:pPr>
        <w:ind w:left="8827" w:hanging="722"/>
      </w:pPr>
      <w:rPr>
        <w:rFonts w:hint="default"/>
        <w:lang w:val="pt-PT" w:eastAsia="en-US" w:bidi="ar-SA"/>
      </w:rPr>
    </w:lvl>
  </w:abstractNum>
  <w:abstractNum w:abstractNumId="8">
    <w:multiLevelType w:val="hybridMultilevel"/>
    <w:lvl w:ilvl="0">
      <w:start w:val="7"/>
      <w:numFmt w:val="decimal"/>
      <w:lvlText w:val="%1."/>
      <w:lvlJc w:val="left"/>
      <w:pPr>
        <w:ind w:left="718" w:hanging="568"/>
        <w:jc w:val="left"/>
      </w:pPr>
      <w:rPr>
        <w:rFonts w:hint="default" w:ascii="Calibri" w:hAnsi="Calibri" w:eastAsia="Calibri" w:cs="Calibri"/>
        <w:b/>
        <w:bCs/>
        <w:i w:val="0"/>
        <w:iCs w:val="0"/>
        <w:spacing w:val="0"/>
        <w:w w:val="98"/>
        <w:sz w:val="26"/>
        <w:szCs w:val="26"/>
        <w:lang w:val="pt-PT" w:eastAsia="en-US" w:bidi="ar-SA"/>
      </w:rPr>
    </w:lvl>
    <w:lvl w:ilvl="1">
      <w:start w:val="1"/>
      <w:numFmt w:val="decimal"/>
      <w:lvlText w:val="%1.%2."/>
      <w:lvlJc w:val="left"/>
      <w:pPr>
        <w:ind w:left="718" w:hanging="568"/>
        <w:jc w:val="left"/>
      </w:pPr>
      <w:rPr>
        <w:rFonts w:hint="default" w:ascii="Calibri" w:hAnsi="Calibri" w:eastAsia="Calibri" w:cs="Calibri"/>
        <w:b/>
        <w:bCs/>
        <w:i w:val="0"/>
        <w:iCs w:val="0"/>
        <w:spacing w:val="-5"/>
        <w:w w:val="100"/>
        <w:sz w:val="24"/>
        <w:szCs w:val="24"/>
        <w:lang w:val="pt-PT" w:eastAsia="en-US" w:bidi="ar-SA"/>
      </w:rPr>
    </w:lvl>
    <w:lvl w:ilvl="2">
      <w:start w:val="0"/>
      <w:numFmt w:val="bullet"/>
      <w:lvlText w:val="•"/>
      <w:lvlJc w:val="left"/>
      <w:pPr>
        <w:ind w:left="1956" w:hanging="568"/>
      </w:pPr>
      <w:rPr>
        <w:rFonts w:hint="default"/>
        <w:lang w:val="pt-PT" w:eastAsia="en-US" w:bidi="ar-SA"/>
      </w:rPr>
    </w:lvl>
    <w:lvl w:ilvl="3">
      <w:start w:val="0"/>
      <w:numFmt w:val="bullet"/>
      <w:lvlText w:val="•"/>
      <w:lvlJc w:val="left"/>
      <w:pPr>
        <w:ind w:left="3052" w:hanging="568"/>
      </w:pPr>
      <w:rPr>
        <w:rFonts w:hint="default"/>
        <w:lang w:val="pt-PT" w:eastAsia="en-US" w:bidi="ar-SA"/>
      </w:rPr>
    </w:lvl>
    <w:lvl w:ilvl="4">
      <w:start w:val="0"/>
      <w:numFmt w:val="bullet"/>
      <w:lvlText w:val="•"/>
      <w:lvlJc w:val="left"/>
      <w:pPr>
        <w:ind w:left="4148" w:hanging="568"/>
      </w:pPr>
      <w:rPr>
        <w:rFonts w:hint="default"/>
        <w:lang w:val="pt-PT" w:eastAsia="en-US" w:bidi="ar-SA"/>
      </w:rPr>
    </w:lvl>
    <w:lvl w:ilvl="5">
      <w:start w:val="0"/>
      <w:numFmt w:val="bullet"/>
      <w:lvlText w:val="•"/>
      <w:lvlJc w:val="left"/>
      <w:pPr>
        <w:ind w:left="5244" w:hanging="568"/>
      </w:pPr>
      <w:rPr>
        <w:rFonts w:hint="default"/>
        <w:lang w:val="pt-PT" w:eastAsia="en-US" w:bidi="ar-SA"/>
      </w:rPr>
    </w:lvl>
    <w:lvl w:ilvl="6">
      <w:start w:val="0"/>
      <w:numFmt w:val="bullet"/>
      <w:lvlText w:val="•"/>
      <w:lvlJc w:val="left"/>
      <w:pPr>
        <w:ind w:left="6340" w:hanging="568"/>
      </w:pPr>
      <w:rPr>
        <w:rFonts w:hint="default"/>
        <w:lang w:val="pt-PT" w:eastAsia="en-US" w:bidi="ar-SA"/>
      </w:rPr>
    </w:lvl>
    <w:lvl w:ilvl="7">
      <w:start w:val="0"/>
      <w:numFmt w:val="bullet"/>
      <w:lvlText w:val="•"/>
      <w:lvlJc w:val="left"/>
      <w:pPr>
        <w:ind w:left="7436" w:hanging="568"/>
      </w:pPr>
      <w:rPr>
        <w:rFonts w:hint="default"/>
        <w:lang w:val="pt-PT" w:eastAsia="en-US" w:bidi="ar-SA"/>
      </w:rPr>
    </w:lvl>
    <w:lvl w:ilvl="8">
      <w:start w:val="0"/>
      <w:numFmt w:val="bullet"/>
      <w:lvlText w:val="•"/>
      <w:lvlJc w:val="left"/>
      <w:pPr>
        <w:ind w:left="8532" w:hanging="568"/>
      </w:pPr>
      <w:rPr>
        <w:rFonts w:hint="default"/>
        <w:lang w:val="pt-PT" w:eastAsia="en-US" w:bidi="ar-SA"/>
      </w:rPr>
    </w:lvl>
  </w:abstractNum>
  <w:abstractNum w:abstractNumId="7">
    <w:multiLevelType w:val="hybridMultilevel"/>
    <w:lvl w:ilvl="0">
      <w:start w:val="0"/>
      <w:numFmt w:val="bullet"/>
      <w:lvlText w:val=""/>
      <w:lvlJc w:val="left"/>
      <w:pPr>
        <w:ind w:left="511" w:hanging="360"/>
      </w:pPr>
      <w:rPr>
        <w:rFonts w:hint="default" w:ascii="Symbol" w:hAnsi="Symbol" w:eastAsia="Symbol" w:cs="Symbol"/>
        <w:b w:val="0"/>
        <w:bCs w:val="0"/>
        <w:i w:val="0"/>
        <w:iCs w:val="0"/>
        <w:spacing w:val="0"/>
        <w:w w:val="99"/>
        <w:sz w:val="22"/>
        <w:szCs w:val="22"/>
        <w:lang w:val="pt-PT" w:eastAsia="en-US" w:bidi="ar-SA"/>
      </w:rPr>
    </w:lvl>
    <w:lvl w:ilvl="1">
      <w:start w:val="0"/>
      <w:numFmt w:val="bullet"/>
      <w:lvlText w:val="•"/>
      <w:lvlJc w:val="left"/>
      <w:pPr>
        <w:ind w:left="1540" w:hanging="360"/>
      </w:pPr>
      <w:rPr>
        <w:rFonts w:hint="default"/>
        <w:lang w:val="pt-PT" w:eastAsia="en-US" w:bidi="ar-SA"/>
      </w:rPr>
    </w:lvl>
    <w:lvl w:ilvl="2">
      <w:start w:val="0"/>
      <w:numFmt w:val="bullet"/>
      <w:lvlText w:val="•"/>
      <w:lvlJc w:val="left"/>
      <w:pPr>
        <w:ind w:left="2560" w:hanging="360"/>
      </w:pPr>
      <w:rPr>
        <w:rFonts w:hint="default"/>
        <w:lang w:val="pt-PT" w:eastAsia="en-US" w:bidi="ar-SA"/>
      </w:rPr>
    </w:lvl>
    <w:lvl w:ilvl="3">
      <w:start w:val="0"/>
      <w:numFmt w:val="bullet"/>
      <w:lvlText w:val="•"/>
      <w:lvlJc w:val="left"/>
      <w:pPr>
        <w:ind w:left="3581" w:hanging="360"/>
      </w:pPr>
      <w:rPr>
        <w:rFonts w:hint="default"/>
        <w:lang w:val="pt-PT" w:eastAsia="en-US" w:bidi="ar-SA"/>
      </w:rPr>
    </w:lvl>
    <w:lvl w:ilvl="4">
      <w:start w:val="0"/>
      <w:numFmt w:val="bullet"/>
      <w:lvlText w:val="•"/>
      <w:lvlJc w:val="left"/>
      <w:pPr>
        <w:ind w:left="4601" w:hanging="360"/>
      </w:pPr>
      <w:rPr>
        <w:rFonts w:hint="default"/>
        <w:lang w:val="pt-PT" w:eastAsia="en-US" w:bidi="ar-SA"/>
      </w:rPr>
    </w:lvl>
    <w:lvl w:ilvl="5">
      <w:start w:val="0"/>
      <w:numFmt w:val="bullet"/>
      <w:lvlText w:val="•"/>
      <w:lvlJc w:val="left"/>
      <w:pPr>
        <w:ind w:left="5622" w:hanging="360"/>
      </w:pPr>
      <w:rPr>
        <w:rFonts w:hint="default"/>
        <w:lang w:val="pt-PT" w:eastAsia="en-US" w:bidi="ar-SA"/>
      </w:rPr>
    </w:lvl>
    <w:lvl w:ilvl="6">
      <w:start w:val="0"/>
      <w:numFmt w:val="bullet"/>
      <w:lvlText w:val="•"/>
      <w:lvlJc w:val="left"/>
      <w:pPr>
        <w:ind w:left="6642" w:hanging="360"/>
      </w:pPr>
      <w:rPr>
        <w:rFonts w:hint="default"/>
        <w:lang w:val="pt-PT" w:eastAsia="en-US" w:bidi="ar-SA"/>
      </w:rPr>
    </w:lvl>
    <w:lvl w:ilvl="7">
      <w:start w:val="0"/>
      <w:numFmt w:val="bullet"/>
      <w:lvlText w:val="•"/>
      <w:lvlJc w:val="left"/>
      <w:pPr>
        <w:ind w:left="7663" w:hanging="360"/>
      </w:pPr>
      <w:rPr>
        <w:rFonts w:hint="default"/>
        <w:lang w:val="pt-PT" w:eastAsia="en-US" w:bidi="ar-SA"/>
      </w:rPr>
    </w:lvl>
    <w:lvl w:ilvl="8">
      <w:start w:val="0"/>
      <w:numFmt w:val="bullet"/>
      <w:lvlText w:val="•"/>
      <w:lvlJc w:val="left"/>
      <w:pPr>
        <w:ind w:left="8683" w:hanging="360"/>
      </w:pPr>
      <w:rPr>
        <w:rFonts w:hint="default"/>
        <w:lang w:val="pt-PT" w:eastAsia="en-US" w:bidi="ar-SA"/>
      </w:rPr>
    </w:lvl>
  </w:abstractNum>
  <w:abstractNum w:abstractNumId="6">
    <w:multiLevelType w:val="hybridMultilevel"/>
    <w:lvl w:ilvl="0">
      <w:start w:val="1"/>
      <w:numFmt w:val="lowerLetter"/>
      <w:lvlText w:val="%1)"/>
      <w:lvlJc w:val="left"/>
      <w:pPr>
        <w:ind w:left="718" w:hanging="568"/>
        <w:jc w:val="left"/>
      </w:pPr>
      <w:rPr>
        <w:rFonts w:hint="default" w:ascii="Calibri" w:hAnsi="Calibri" w:eastAsia="Calibri" w:cs="Calibri"/>
        <w:b/>
        <w:bCs/>
        <w:i w:val="0"/>
        <w:iCs w:val="0"/>
        <w:spacing w:val="-4"/>
        <w:w w:val="100"/>
        <w:sz w:val="24"/>
        <w:szCs w:val="24"/>
        <w:lang w:val="pt-PT" w:eastAsia="en-US" w:bidi="ar-SA"/>
      </w:rPr>
    </w:lvl>
    <w:lvl w:ilvl="1">
      <w:start w:val="0"/>
      <w:numFmt w:val="bullet"/>
      <w:lvlText w:val="•"/>
      <w:lvlJc w:val="left"/>
      <w:pPr>
        <w:ind w:left="1720" w:hanging="568"/>
      </w:pPr>
      <w:rPr>
        <w:rFonts w:hint="default"/>
        <w:lang w:val="pt-PT" w:eastAsia="en-US" w:bidi="ar-SA"/>
      </w:rPr>
    </w:lvl>
    <w:lvl w:ilvl="2">
      <w:start w:val="0"/>
      <w:numFmt w:val="bullet"/>
      <w:lvlText w:val="•"/>
      <w:lvlJc w:val="left"/>
      <w:pPr>
        <w:ind w:left="2720" w:hanging="568"/>
      </w:pPr>
      <w:rPr>
        <w:rFonts w:hint="default"/>
        <w:lang w:val="pt-PT" w:eastAsia="en-US" w:bidi="ar-SA"/>
      </w:rPr>
    </w:lvl>
    <w:lvl w:ilvl="3">
      <w:start w:val="0"/>
      <w:numFmt w:val="bullet"/>
      <w:lvlText w:val="•"/>
      <w:lvlJc w:val="left"/>
      <w:pPr>
        <w:ind w:left="3721" w:hanging="568"/>
      </w:pPr>
      <w:rPr>
        <w:rFonts w:hint="default"/>
        <w:lang w:val="pt-PT" w:eastAsia="en-US" w:bidi="ar-SA"/>
      </w:rPr>
    </w:lvl>
    <w:lvl w:ilvl="4">
      <w:start w:val="0"/>
      <w:numFmt w:val="bullet"/>
      <w:lvlText w:val="•"/>
      <w:lvlJc w:val="left"/>
      <w:pPr>
        <w:ind w:left="4721" w:hanging="568"/>
      </w:pPr>
      <w:rPr>
        <w:rFonts w:hint="default"/>
        <w:lang w:val="pt-PT" w:eastAsia="en-US" w:bidi="ar-SA"/>
      </w:rPr>
    </w:lvl>
    <w:lvl w:ilvl="5">
      <w:start w:val="0"/>
      <w:numFmt w:val="bullet"/>
      <w:lvlText w:val="•"/>
      <w:lvlJc w:val="left"/>
      <w:pPr>
        <w:ind w:left="5722" w:hanging="568"/>
      </w:pPr>
      <w:rPr>
        <w:rFonts w:hint="default"/>
        <w:lang w:val="pt-PT" w:eastAsia="en-US" w:bidi="ar-SA"/>
      </w:rPr>
    </w:lvl>
    <w:lvl w:ilvl="6">
      <w:start w:val="0"/>
      <w:numFmt w:val="bullet"/>
      <w:lvlText w:val="•"/>
      <w:lvlJc w:val="left"/>
      <w:pPr>
        <w:ind w:left="6722" w:hanging="568"/>
      </w:pPr>
      <w:rPr>
        <w:rFonts w:hint="default"/>
        <w:lang w:val="pt-PT" w:eastAsia="en-US" w:bidi="ar-SA"/>
      </w:rPr>
    </w:lvl>
    <w:lvl w:ilvl="7">
      <w:start w:val="0"/>
      <w:numFmt w:val="bullet"/>
      <w:lvlText w:val="•"/>
      <w:lvlJc w:val="left"/>
      <w:pPr>
        <w:ind w:left="7723" w:hanging="568"/>
      </w:pPr>
      <w:rPr>
        <w:rFonts w:hint="default"/>
        <w:lang w:val="pt-PT" w:eastAsia="en-US" w:bidi="ar-SA"/>
      </w:rPr>
    </w:lvl>
    <w:lvl w:ilvl="8">
      <w:start w:val="0"/>
      <w:numFmt w:val="bullet"/>
      <w:lvlText w:val="•"/>
      <w:lvlJc w:val="left"/>
      <w:pPr>
        <w:ind w:left="8723" w:hanging="568"/>
      </w:pPr>
      <w:rPr>
        <w:rFonts w:hint="default"/>
        <w:lang w:val="pt-PT" w:eastAsia="en-US" w:bidi="ar-SA"/>
      </w:rPr>
    </w:lvl>
  </w:abstractNum>
  <w:abstractNum w:abstractNumId="5">
    <w:multiLevelType w:val="hybridMultilevel"/>
    <w:lvl w:ilvl="0">
      <w:start w:val="0"/>
      <w:numFmt w:val="bullet"/>
      <w:lvlText w:val="•"/>
      <w:lvlJc w:val="left"/>
      <w:pPr>
        <w:ind w:left="435" w:hanging="285"/>
      </w:pPr>
      <w:rPr>
        <w:rFonts w:hint="default" w:ascii="Calibri" w:hAnsi="Calibri" w:eastAsia="Calibri" w:cs="Calibri"/>
        <w:b w:val="0"/>
        <w:bCs w:val="0"/>
        <w:i w:val="0"/>
        <w:iCs w:val="0"/>
        <w:spacing w:val="0"/>
        <w:w w:val="99"/>
        <w:sz w:val="20"/>
        <w:szCs w:val="20"/>
        <w:lang w:val="pt-PT" w:eastAsia="en-US" w:bidi="ar-SA"/>
      </w:rPr>
    </w:lvl>
    <w:lvl w:ilvl="1">
      <w:start w:val="0"/>
      <w:numFmt w:val="bullet"/>
      <w:lvlText w:val="•"/>
      <w:lvlJc w:val="left"/>
      <w:pPr>
        <w:ind w:left="1468" w:hanging="285"/>
      </w:pPr>
      <w:rPr>
        <w:rFonts w:hint="default"/>
        <w:lang w:val="pt-PT" w:eastAsia="en-US" w:bidi="ar-SA"/>
      </w:rPr>
    </w:lvl>
    <w:lvl w:ilvl="2">
      <w:start w:val="0"/>
      <w:numFmt w:val="bullet"/>
      <w:lvlText w:val="•"/>
      <w:lvlJc w:val="left"/>
      <w:pPr>
        <w:ind w:left="2496" w:hanging="285"/>
      </w:pPr>
      <w:rPr>
        <w:rFonts w:hint="default"/>
        <w:lang w:val="pt-PT" w:eastAsia="en-US" w:bidi="ar-SA"/>
      </w:rPr>
    </w:lvl>
    <w:lvl w:ilvl="3">
      <w:start w:val="0"/>
      <w:numFmt w:val="bullet"/>
      <w:lvlText w:val="•"/>
      <w:lvlJc w:val="left"/>
      <w:pPr>
        <w:ind w:left="3525" w:hanging="285"/>
      </w:pPr>
      <w:rPr>
        <w:rFonts w:hint="default"/>
        <w:lang w:val="pt-PT" w:eastAsia="en-US" w:bidi="ar-SA"/>
      </w:rPr>
    </w:lvl>
    <w:lvl w:ilvl="4">
      <w:start w:val="0"/>
      <w:numFmt w:val="bullet"/>
      <w:lvlText w:val="•"/>
      <w:lvlJc w:val="left"/>
      <w:pPr>
        <w:ind w:left="4553" w:hanging="285"/>
      </w:pPr>
      <w:rPr>
        <w:rFonts w:hint="default"/>
        <w:lang w:val="pt-PT" w:eastAsia="en-US" w:bidi="ar-SA"/>
      </w:rPr>
    </w:lvl>
    <w:lvl w:ilvl="5">
      <w:start w:val="0"/>
      <w:numFmt w:val="bullet"/>
      <w:lvlText w:val="•"/>
      <w:lvlJc w:val="left"/>
      <w:pPr>
        <w:ind w:left="5582" w:hanging="285"/>
      </w:pPr>
      <w:rPr>
        <w:rFonts w:hint="default"/>
        <w:lang w:val="pt-PT" w:eastAsia="en-US" w:bidi="ar-SA"/>
      </w:rPr>
    </w:lvl>
    <w:lvl w:ilvl="6">
      <w:start w:val="0"/>
      <w:numFmt w:val="bullet"/>
      <w:lvlText w:val="•"/>
      <w:lvlJc w:val="left"/>
      <w:pPr>
        <w:ind w:left="6610" w:hanging="285"/>
      </w:pPr>
      <w:rPr>
        <w:rFonts w:hint="default"/>
        <w:lang w:val="pt-PT" w:eastAsia="en-US" w:bidi="ar-SA"/>
      </w:rPr>
    </w:lvl>
    <w:lvl w:ilvl="7">
      <w:start w:val="0"/>
      <w:numFmt w:val="bullet"/>
      <w:lvlText w:val="•"/>
      <w:lvlJc w:val="left"/>
      <w:pPr>
        <w:ind w:left="7639" w:hanging="285"/>
      </w:pPr>
      <w:rPr>
        <w:rFonts w:hint="default"/>
        <w:lang w:val="pt-PT" w:eastAsia="en-US" w:bidi="ar-SA"/>
      </w:rPr>
    </w:lvl>
    <w:lvl w:ilvl="8">
      <w:start w:val="0"/>
      <w:numFmt w:val="bullet"/>
      <w:lvlText w:val="•"/>
      <w:lvlJc w:val="left"/>
      <w:pPr>
        <w:ind w:left="8667" w:hanging="285"/>
      </w:pPr>
      <w:rPr>
        <w:rFonts w:hint="default"/>
        <w:lang w:val="pt-PT" w:eastAsia="en-US" w:bidi="ar-SA"/>
      </w:rPr>
    </w:lvl>
  </w:abstractNum>
  <w:abstractNum w:abstractNumId="4">
    <w:multiLevelType w:val="hybridMultilevel"/>
    <w:lvl w:ilvl="0">
      <w:start w:val="1"/>
      <w:numFmt w:val="lowerLetter"/>
      <w:lvlText w:val="%1)"/>
      <w:lvlJc w:val="left"/>
      <w:pPr>
        <w:ind w:left="718" w:hanging="568"/>
        <w:jc w:val="left"/>
      </w:pPr>
      <w:rPr>
        <w:rFonts w:hint="default" w:ascii="Calibri" w:hAnsi="Calibri" w:eastAsia="Calibri" w:cs="Calibri"/>
        <w:b/>
        <w:bCs/>
        <w:i w:val="0"/>
        <w:iCs w:val="0"/>
        <w:spacing w:val="-4"/>
        <w:w w:val="100"/>
        <w:sz w:val="24"/>
        <w:szCs w:val="24"/>
        <w:lang w:val="pt-PT" w:eastAsia="en-US" w:bidi="ar-SA"/>
      </w:rPr>
    </w:lvl>
    <w:lvl w:ilvl="1">
      <w:start w:val="0"/>
      <w:numFmt w:val="bullet"/>
      <w:lvlText w:val="•"/>
      <w:lvlJc w:val="left"/>
      <w:pPr>
        <w:ind w:left="1720" w:hanging="568"/>
      </w:pPr>
      <w:rPr>
        <w:rFonts w:hint="default"/>
        <w:lang w:val="pt-PT" w:eastAsia="en-US" w:bidi="ar-SA"/>
      </w:rPr>
    </w:lvl>
    <w:lvl w:ilvl="2">
      <w:start w:val="0"/>
      <w:numFmt w:val="bullet"/>
      <w:lvlText w:val="•"/>
      <w:lvlJc w:val="left"/>
      <w:pPr>
        <w:ind w:left="2720" w:hanging="568"/>
      </w:pPr>
      <w:rPr>
        <w:rFonts w:hint="default"/>
        <w:lang w:val="pt-PT" w:eastAsia="en-US" w:bidi="ar-SA"/>
      </w:rPr>
    </w:lvl>
    <w:lvl w:ilvl="3">
      <w:start w:val="0"/>
      <w:numFmt w:val="bullet"/>
      <w:lvlText w:val="•"/>
      <w:lvlJc w:val="left"/>
      <w:pPr>
        <w:ind w:left="3721" w:hanging="568"/>
      </w:pPr>
      <w:rPr>
        <w:rFonts w:hint="default"/>
        <w:lang w:val="pt-PT" w:eastAsia="en-US" w:bidi="ar-SA"/>
      </w:rPr>
    </w:lvl>
    <w:lvl w:ilvl="4">
      <w:start w:val="0"/>
      <w:numFmt w:val="bullet"/>
      <w:lvlText w:val="•"/>
      <w:lvlJc w:val="left"/>
      <w:pPr>
        <w:ind w:left="4721" w:hanging="568"/>
      </w:pPr>
      <w:rPr>
        <w:rFonts w:hint="default"/>
        <w:lang w:val="pt-PT" w:eastAsia="en-US" w:bidi="ar-SA"/>
      </w:rPr>
    </w:lvl>
    <w:lvl w:ilvl="5">
      <w:start w:val="0"/>
      <w:numFmt w:val="bullet"/>
      <w:lvlText w:val="•"/>
      <w:lvlJc w:val="left"/>
      <w:pPr>
        <w:ind w:left="5722" w:hanging="568"/>
      </w:pPr>
      <w:rPr>
        <w:rFonts w:hint="default"/>
        <w:lang w:val="pt-PT" w:eastAsia="en-US" w:bidi="ar-SA"/>
      </w:rPr>
    </w:lvl>
    <w:lvl w:ilvl="6">
      <w:start w:val="0"/>
      <w:numFmt w:val="bullet"/>
      <w:lvlText w:val="•"/>
      <w:lvlJc w:val="left"/>
      <w:pPr>
        <w:ind w:left="6722" w:hanging="568"/>
      </w:pPr>
      <w:rPr>
        <w:rFonts w:hint="default"/>
        <w:lang w:val="pt-PT" w:eastAsia="en-US" w:bidi="ar-SA"/>
      </w:rPr>
    </w:lvl>
    <w:lvl w:ilvl="7">
      <w:start w:val="0"/>
      <w:numFmt w:val="bullet"/>
      <w:lvlText w:val="•"/>
      <w:lvlJc w:val="left"/>
      <w:pPr>
        <w:ind w:left="7723" w:hanging="568"/>
      </w:pPr>
      <w:rPr>
        <w:rFonts w:hint="default"/>
        <w:lang w:val="pt-PT" w:eastAsia="en-US" w:bidi="ar-SA"/>
      </w:rPr>
    </w:lvl>
    <w:lvl w:ilvl="8">
      <w:start w:val="0"/>
      <w:numFmt w:val="bullet"/>
      <w:lvlText w:val="•"/>
      <w:lvlJc w:val="left"/>
      <w:pPr>
        <w:ind w:left="8723" w:hanging="568"/>
      </w:pPr>
      <w:rPr>
        <w:rFonts w:hint="default"/>
        <w:lang w:val="pt-PT" w:eastAsia="en-US" w:bidi="ar-SA"/>
      </w:rPr>
    </w:lvl>
  </w:abstractNum>
  <w:abstractNum w:abstractNumId="3">
    <w:multiLevelType w:val="hybridMultilevel"/>
    <w:lvl w:ilvl="0">
      <w:start w:val="1"/>
      <w:numFmt w:val="decimal"/>
      <w:lvlText w:val="%1."/>
      <w:lvlJc w:val="left"/>
      <w:pPr>
        <w:ind w:left="718" w:hanging="568"/>
        <w:jc w:val="left"/>
      </w:pPr>
      <w:rPr>
        <w:rFonts w:hint="default" w:ascii="Calibri" w:hAnsi="Calibri" w:eastAsia="Calibri" w:cs="Calibri"/>
        <w:b/>
        <w:bCs/>
        <w:i w:val="0"/>
        <w:iCs w:val="0"/>
        <w:spacing w:val="0"/>
        <w:w w:val="98"/>
        <w:sz w:val="26"/>
        <w:szCs w:val="26"/>
        <w:lang w:val="pt-PT" w:eastAsia="en-US" w:bidi="ar-SA"/>
      </w:rPr>
    </w:lvl>
    <w:lvl w:ilvl="1">
      <w:start w:val="1"/>
      <w:numFmt w:val="decimal"/>
      <w:lvlText w:val="%1.%2."/>
      <w:lvlJc w:val="left"/>
      <w:pPr>
        <w:ind w:left="780" w:hanging="630"/>
        <w:jc w:val="left"/>
      </w:pPr>
      <w:rPr>
        <w:rFonts w:hint="default" w:ascii="Calibri" w:hAnsi="Calibri" w:eastAsia="Calibri" w:cs="Calibri"/>
        <w:b/>
        <w:bCs/>
        <w:i w:val="0"/>
        <w:iCs w:val="0"/>
        <w:spacing w:val="-5"/>
        <w:w w:val="100"/>
        <w:sz w:val="24"/>
        <w:szCs w:val="24"/>
        <w:lang w:val="pt-PT" w:eastAsia="en-US" w:bidi="ar-SA"/>
      </w:rPr>
    </w:lvl>
    <w:lvl w:ilvl="2">
      <w:start w:val="1"/>
      <w:numFmt w:val="decimal"/>
      <w:lvlText w:val="%1.%2.%3."/>
      <w:lvlJc w:val="left"/>
      <w:pPr>
        <w:ind w:left="881" w:hanging="731"/>
        <w:jc w:val="left"/>
      </w:pPr>
      <w:rPr>
        <w:rFonts w:hint="default" w:ascii="Calibri" w:hAnsi="Calibri" w:eastAsia="Calibri" w:cs="Calibri"/>
        <w:b/>
        <w:bCs/>
        <w:i w:val="0"/>
        <w:iCs w:val="0"/>
        <w:spacing w:val="-3"/>
        <w:w w:val="100"/>
        <w:sz w:val="24"/>
        <w:szCs w:val="24"/>
        <w:lang w:val="pt-PT" w:eastAsia="en-US" w:bidi="ar-SA"/>
      </w:rPr>
    </w:lvl>
    <w:lvl w:ilvl="3">
      <w:start w:val="0"/>
      <w:numFmt w:val="bullet"/>
      <w:lvlText w:val="•"/>
      <w:lvlJc w:val="left"/>
      <w:pPr>
        <w:ind w:left="880" w:hanging="731"/>
      </w:pPr>
      <w:rPr>
        <w:rFonts w:hint="default"/>
        <w:lang w:val="pt-PT" w:eastAsia="en-US" w:bidi="ar-SA"/>
      </w:rPr>
    </w:lvl>
    <w:lvl w:ilvl="4">
      <w:start w:val="0"/>
      <w:numFmt w:val="bullet"/>
      <w:lvlText w:val="•"/>
      <w:lvlJc w:val="left"/>
      <w:pPr>
        <w:ind w:left="2286" w:hanging="731"/>
      </w:pPr>
      <w:rPr>
        <w:rFonts w:hint="default"/>
        <w:lang w:val="pt-PT" w:eastAsia="en-US" w:bidi="ar-SA"/>
      </w:rPr>
    </w:lvl>
    <w:lvl w:ilvl="5">
      <w:start w:val="0"/>
      <w:numFmt w:val="bullet"/>
      <w:lvlText w:val="•"/>
      <w:lvlJc w:val="left"/>
      <w:pPr>
        <w:ind w:left="3692" w:hanging="731"/>
      </w:pPr>
      <w:rPr>
        <w:rFonts w:hint="default"/>
        <w:lang w:val="pt-PT" w:eastAsia="en-US" w:bidi="ar-SA"/>
      </w:rPr>
    </w:lvl>
    <w:lvl w:ilvl="6">
      <w:start w:val="0"/>
      <w:numFmt w:val="bullet"/>
      <w:lvlText w:val="•"/>
      <w:lvlJc w:val="left"/>
      <w:pPr>
        <w:ind w:left="5099" w:hanging="731"/>
      </w:pPr>
      <w:rPr>
        <w:rFonts w:hint="default"/>
        <w:lang w:val="pt-PT" w:eastAsia="en-US" w:bidi="ar-SA"/>
      </w:rPr>
    </w:lvl>
    <w:lvl w:ilvl="7">
      <w:start w:val="0"/>
      <w:numFmt w:val="bullet"/>
      <w:lvlText w:val="•"/>
      <w:lvlJc w:val="left"/>
      <w:pPr>
        <w:ind w:left="6505" w:hanging="731"/>
      </w:pPr>
      <w:rPr>
        <w:rFonts w:hint="default"/>
        <w:lang w:val="pt-PT" w:eastAsia="en-US" w:bidi="ar-SA"/>
      </w:rPr>
    </w:lvl>
    <w:lvl w:ilvl="8">
      <w:start w:val="0"/>
      <w:numFmt w:val="bullet"/>
      <w:lvlText w:val="•"/>
      <w:lvlJc w:val="left"/>
      <w:pPr>
        <w:ind w:left="7911" w:hanging="731"/>
      </w:pPr>
      <w:rPr>
        <w:rFonts w:hint="default"/>
        <w:lang w:val="pt-PT" w:eastAsia="en-US" w:bidi="ar-SA"/>
      </w:rPr>
    </w:lvl>
  </w:abstractNum>
  <w:abstractNum w:abstractNumId="2">
    <w:multiLevelType w:val="hybridMultilevel"/>
    <w:lvl w:ilvl="0">
      <w:start w:val="0"/>
      <w:numFmt w:val="bullet"/>
      <w:lvlText w:val="–"/>
      <w:lvlJc w:val="left"/>
      <w:pPr>
        <w:ind w:left="1174" w:hanging="336"/>
      </w:pPr>
      <w:rPr>
        <w:rFonts w:hint="default" w:ascii="Calibri" w:hAnsi="Calibri" w:eastAsia="Calibri" w:cs="Calibri"/>
        <w:b w:val="0"/>
        <w:bCs w:val="0"/>
        <w:i w:val="0"/>
        <w:iCs w:val="0"/>
        <w:spacing w:val="0"/>
        <w:w w:val="98"/>
        <w:sz w:val="19"/>
        <w:szCs w:val="19"/>
        <w:lang w:val="pt-PT" w:eastAsia="en-US" w:bidi="ar-SA"/>
      </w:rPr>
    </w:lvl>
    <w:lvl w:ilvl="1">
      <w:start w:val="0"/>
      <w:numFmt w:val="bullet"/>
      <w:lvlText w:val="•"/>
      <w:lvlJc w:val="left"/>
      <w:pPr>
        <w:ind w:left="2110" w:hanging="336"/>
      </w:pPr>
      <w:rPr>
        <w:rFonts w:hint="default"/>
        <w:lang w:val="pt-PT" w:eastAsia="en-US" w:bidi="ar-SA"/>
      </w:rPr>
    </w:lvl>
    <w:lvl w:ilvl="2">
      <w:start w:val="0"/>
      <w:numFmt w:val="bullet"/>
      <w:lvlText w:val="•"/>
      <w:lvlJc w:val="left"/>
      <w:pPr>
        <w:ind w:left="3040" w:hanging="336"/>
      </w:pPr>
      <w:rPr>
        <w:rFonts w:hint="default"/>
        <w:lang w:val="pt-PT" w:eastAsia="en-US" w:bidi="ar-SA"/>
      </w:rPr>
    </w:lvl>
    <w:lvl w:ilvl="3">
      <w:start w:val="0"/>
      <w:numFmt w:val="bullet"/>
      <w:lvlText w:val="•"/>
      <w:lvlJc w:val="left"/>
      <w:pPr>
        <w:ind w:left="3971" w:hanging="336"/>
      </w:pPr>
      <w:rPr>
        <w:rFonts w:hint="default"/>
        <w:lang w:val="pt-PT" w:eastAsia="en-US" w:bidi="ar-SA"/>
      </w:rPr>
    </w:lvl>
    <w:lvl w:ilvl="4">
      <w:start w:val="0"/>
      <w:numFmt w:val="bullet"/>
      <w:lvlText w:val="•"/>
      <w:lvlJc w:val="left"/>
      <w:pPr>
        <w:ind w:left="4901" w:hanging="336"/>
      </w:pPr>
      <w:rPr>
        <w:rFonts w:hint="default"/>
        <w:lang w:val="pt-PT" w:eastAsia="en-US" w:bidi="ar-SA"/>
      </w:rPr>
    </w:lvl>
    <w:lvl w:ilvl="5">
      <w:start w:val="0"/>
      <w:numFmt w:val="bullet"/>
      <w:lvlText w:val="•"/>
      <w:lvlJc w:val="left"/>
      <w:pPr>
        <w:ind w:left="5832" w:hanging="336"/>
      </w:pPr>
      <w:rPr>
        <w:rFonts w:hint="default"/>
        <w:lang w:val="pt-PT" w:eastAsia="en-US" w:bidi="ar-SA"/>
      </w:rPr>
    </w:lvl>
    <w:lvl w:ilvl="6">
      <w:start w:val="0"/>
      <w:numFmt w:val="bullet"/>
      <w:lvlText w:val="•"/>
      <w:lvlJc w:val="left"/>
      <w:pPr>
        <w:ind w:left="6762" w:hanging="336"/>
      </w:pPr>
      <w:rPr>
        <w:rFonts w:hint="default"/>
        <w:lang w:val="pt-PT" w:eastAsia="en-US" w:bidi="ar-SA"/>
      </w:rPr>
    </w:lvl>
    <w:lvl w:ilvl="7">
      <w:start w:val="0"/>
      <w:numFmt w:val="bullet"/>
      <w:lvlText w:val="•"/>
      <w:lvlJc w:val="left"/>
      <w:pPr>
        <w:ind w:left="7693" w:hanging="336"/>
      </w:pPr>
      <w:rPr>
        <w:rFonts w:hint="default"/>
        <w:lang w:val="pt-PT" w:eastAsia="en-US" w:bidi="ar-SA"/>
      </w:rPr>
    </w:lvl>
    <w:lvl w:ilvl="8">
      <w:start w:val="0"/>
      <w:numFmt w:val="bullet"/>
      <w:lvlText w:val="•"/>
      <w:lvlJc w:val="left"/>
      <w:pPr>
        <w:ind w:left="8623" w:hanging="336"/>
      </w:pPr>
      <w:rPr>
        <w:rFonts w:hint="default"/>
        <w:lang w:val="pt-PT" w:eastAsia="en-US" w:bidi="ar-SA"/>
      </w:rPr>
    </w:lvl>
  </w:abstractNum>
  <w:abstractNum w:abstractNumId="1">
    <w:multiLevelType w:val="hybridMultilevel"/>
    <w:lvl w:ilvl="0">
      <w:start w:val="1"/>
      <w:numFmt w:val="decimal"/>
      <w:lvlText w:val="%1."/>
      <w:lvlJc w:val="left"/>
      <w:pPr>
        <w:ind w:left="1701" w:hanging="360"/>
        <w:jc w:val="left"/>
      </w:pPr>
      <w:rPr>
        <w:rFonts w:hint="default" w:ascii="Calibri" w:hAnsi="Calibri" w:eastAsia="Calibri" w:cs="Calibri"/>
        <w:b/>
        <w:bCs/>
        <w:i w:val="0"/>
        <w:iCs w:val="0"/>
        <w:color w:val="1E3762"/>
        <w:spacing w:val="-2"/>
        <w:w w:val="99"/>
        <w:sz w:val="28"/>
        <w:szCs w:val="28"/>
        <w:lang w:val="pt-PT" w:eastAsia="en-US" w:bidi="ar-SA"/>
      </w:rPr>
    </w:lvl>
    <w:lvl w:ilvl="1">
      <w:start w:val="0"/>
      <w:numFmt w:val="bullet"/>
      <w:lvlText w:val="•"/>
      <w:lvlJc w:val="left"/>
      <w:pPr>
        <w:ind w:left="2578" w:hanging="360"/>
      </w:pPr>
      <w:rPr>
        <w:rFonts w:hint="default"/>
        <w:lang w:val="pt-PT" w:eastAsia="en-US" w:bidi="ar-SA"/>
      </w:rPr>
    </w:lvl>
    <w:lvl w:ilvl="2">
      <w:start w:val="0"/>
      <w:numFmt w:val="bullet"/>
      <w:lvlText w:val="•"/>
      <w:lvlJc w:val="left"/>
      <w:pPr>
        <w:ind w:left="3456" w:hanging="360"/>
      </w:pPr>
      <w:rPr>
        <w:rFonts w:hint="default"/>
        <w:lang w:val="pt-PT" w:eastAsia="en-US" w:bidi="ar-SA"/>
      </w:rPr>
    </w:lvl>
    <w:lvl w:ilvl="3">
      <w:start w:val="0"/>
      <w:numFmt w:val="bullet"/>
      <w:lvlText w:val="•"/>
      <w:lvlJc w:val="left"/>
      <w:pPr>
        <w:ind w:left="4335" w:hanging="360"/>
      </w:pPr>
      <w:rPr>
        <w:rFonts w:hint="default"/>
        <w:lang w:val="pt-PT" w:eastAsia="en-US" w:bidi="ar-SA"/>
      </w:rPr>
    </w:lvl>
    <w:lvl w:ilvl="4">
      <w:start w:val="0"/>
      <w:numFmt w:val="bullet"/>
      <w:lvlText w:val="•"/>
      <w:lvlJc w:val="left"/>
      <w:pPr>
        <w:ind w:left="5213" w:hanging="360"/>
      </w:pPr>
      <w:rPr>
        <w:rFonts w:hint="default"/>
        <w:lang w:val="pt-PT" w:eastAsia="en-US" w:bidi="ar-SA"/>
      </w:rPr>
    </w:lvl>
    <w:lvl w:ilvl="5">
      <w:start w:val="0"/>
      <w:numFmt w:val="bullet"/>
      <w:lvlText w:val="•"/>
      <w:lvlJc w:val="left"/>
      <w:pPr>
        <w:ind w:left="6092" w:hanging="360"/>
      </w:pPr>
      <w:rPr>
        <w:rFonts w:hint="default"/>
        <w:lang w:val="pt-PT" w:eastAsia="en-US" w:bidi="ar-SA"/>
      </w:rPr>
    </w:lvl>
    <w:lvl w:ilvl="6">
      <w:start w:val="0"/>
      <w:numFmt w:val="bullet"/>
      <w:lvlText w:val="•"/>
      <w:lvlJc w:val="left"/>
      <w:pPr>
        <w:ind w:left="6970" w:hanging="360"/>
      </w:pPr>
      <w:rPr>
        <w:rFonts w:hint="default"/>
        <w:lang w:val="pt-PT" w:eastAsia="en-US" w:bidi="ar-SA"/>
      </w:rPr>
    </w:lvl>
    <w:lvl w:ilvl="7">
      <w:start w:val="0"/>
      <w:numFmt w:val="bullet"/>
      <w:lvlText w:val="•"/>
      <w:lvlJc w:val="left"/>
      <w:pPr>
        <w:ind w:left="7849" w:hanging="360"/>
      </w:pPr>
      <w:rPr>
        <w:rFonts w:hint="default"/>
        <w:lang w:val="pt-PT" w:eastAsia="en-US" w:bidi="ar-SA"/>
      </w:rPr>
    </w:lvl>
    <w:lvl w:ilvl="8">
      <w:start w:val="0"/>
      <w:numFmt w:val="bullet"/>
      <w:lvlText w:val="•"/>
      <w:lvlJc w:val="left"/>
      <w:pPr>
        <w:ind w:left="8727" w:hanging="360"/>
      </w:pPr>
      <w:rPr>
        <w:rFonts w:hint="default"/>
        <w:lang w:val="pt-PT" w:eastAsia="en-US" w:bidi="ar-SA"/>
      </w:rPr>
    </w:lvl>
  </w:abstractNum>
  <w:abstractNum w:abstractNumId="0">
    <w:multiLevelType w:val="hybridMultilevel"/>
    <w:lvl w:ilvl="0">
      <w:start w:val="1"/>
      <w:numFmt w:val="decimal"/>
      <w:lvlText w:val="%1."/>
      <w:lvlJc w:val="left"/>
      <w:pPr>
        <w:ind w:left="571" w:hanging="441"/>
        <w:jc w:val="left"/>
      </w:pPr>
      <w:rPr>
        <w:rFonts w:hint="default" w:ascii="Calibri" w:hAnsi="Calibri" w:eastAsia="Calibri" w:cs="Calibri"/>
        <w:b w:val="0"/>
        <w:bCs w:val="0"/>
        <w:i w:val="0"/>
        <w:iCs w:val="0"/>
        <w:spacing w:val="-5"/>
        <w:w w:val="100"/>
        <w:sz w:val="24"/>
        <w:szCs w:val="24"/>
        <w:lang w:val="pt-PT" w:eastAsia="en-US" w:bidi="ar-SA"/>
      </w:rPr>
    </w:lvl>
    <w:lvl w:ilvl="1">
      <w:start w:val="1"/>
      <w:numFmt w:val="decimal"/>
      <w:lvlText w:val="%2."/>
      <w:lvlJc w:val="left"/>
      <w:pPr>
        <w:ind w:left="1688" w:hanging="707"/>
        <w:jc w:val="left"/>
      </w:pPr>
      <w:rPr>
        <w:rFonts w:hint="default" w:ascii="Calibri" w:hAnsi="Calibri" w:eastAsia="Calibri" w:cs="Calibri"/>
        <w:b w:val="0"/>
        <w:bCs w:val="0"/>
        <w:i w:val="0"/>
        <w:iCs w:val="0"/>
        <w:spacing w:val="-5"/>
        <w:w w:val="100"/>
        <w:sz w:val="24"/>
        <w:szCs w:val="24"/>
        <w:lang w:val="pt-PT" w:eastAsia="en-US" w:bidi="ar-SA"/>
      </w:rPr>
    </w:lvl>
    <w:lvl w:ilvl="2">
      <w:start w:val="0"/>
      <w:numFmt w:val="bullet"/>
      <w:lvlText w:val="•"/>
      <w:lvlJc w:val="left"/>
      <w:pPr>
        <w:ind w:left="2658" w:hanging="707"/>
      </w:pPr>
      <w:rPr>
        <w:rFonts w:hint="default"/>
        <w:lang w:val="pt-PT" w:eastAsia="en-US" w:bidi="ar-SA"/>
      </w:rPr>
    </w:lvl>
    <w:lvl w:ilvl="3">
      <w:start w:val="0"/>
      <w:numFmt w:val="bullet"/>
      <w:lvlText w:val="•"/>
      <w:lvlJc w:val="left"/>
      <w:pPr>
        <w:ind w:left="3636" w:hanging="707"/>
      </w:pPr>
      <w:rPr>
        <w:rFonts w:hint="default"/>
        <w:lang w:val="pt-PT" w:eastAsia="en-US" w:bidi="ar-SA"/>
      </w:rPr>
    </w:lvl>
    <w:lvl w:ilvl="4">
      <w:start w:val="0"/>
      <w:numFmt w:val="bullet"/>
      <w:lvlText w:val="•"/>
      <w:lvlJc w:val="left"/>
      <w:pPr>
        <w:ind w:left="4614" w:hanging="707"/>
      </w:pPr>
      <w:rPr>
        <w:rFonts w:hint="default"/>
        <w:lang w:val="pt-PT" w:eastAsia="en-US" w:bidi="ar-SA"/>
      </w:rPr>
    </w:lvl>
    <w:lvl w:ilvl="5">
      <w:start w:val="0"/>
      <w:numFmt w:val="bullet"/>
      <w:lvlText w:val="•"/>
      <w:lvlJc w:val="left"/>
      <w:pPr>
        <w:ind w:left="5593" w:hanging="707"/>
      </w:pPr>
      <w:rPr>
        <w:rFonts w:hint="default"/>
        <w:lang w:val="pt-PT" w:eastAsia="en-US" w:bidi="ar-SA"/>
      </w:rPr>
    </w:lvl>
    <w:lvl w:ilvl="6">
      <w:start w:val="0"/>
      <w:numFmt w:val="bullet"/>
      <w:lvlText w:val="•"/>
      <w:lvlJc w:val="left"/>
      <w:pPr>
        <w:ind w:left="6571" w:hanging="707"/>
      </w:pPr>
      <w:rPr>
        <w:rFonts w:hint="default"/>
        <w:lang w:val="pt-PT" w:eastAsia="en-US" w:bidi="ar-SA"/>
      </w:rPr>
    </w:lvl>
    <w:lvl w:ilvl="7">
      <w:start w:val="0"/>
      <w:numFmt w:val="bullet"/>
      <w:lvlText w:val="•"/>
      <w:lvlJc w:val="left"/>
      <w:pPr>
        <w:ind w:left="7549" w:hanging="707"/>
      </w:pPr>
      <w:rPr>
        <w:rFonts w:hint="default"/>
        <w:lang w:val="pt-PT" w:eastAsia="en-US" w:bidi="ar-SA"/>
      </w:rPr>
    </w:lvl>
    <w:lvl w:ilvl="8">
      <w:start w:val="0"/>
      <w:numFmt w:val="bullet"/>
      <w:lvlText w:val="•"/>
      <w:lvlJc w:val="left"/>
      <w:pPr>
        <w:ind w:left="8527" w:hanging="707"/>
      </w:pPr>
      <w:rPr>
        <w:rFonts w:hint="default"/>
        <w:lang w:val="pt-PT"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PT" w:eastAsia="en-US" w:bidi="ar-SA"/>
    </w:rPr>
  </w:style>
  <w:style w:styleId="TOC1" w:type="paragraph">
    <w:name w:val="TOC 1"/>
    <w:basedOn w:val="Normal"/>
    <w:uiPriority w:val="1"/>
    <w:qFormat/>
    <w:pPr>
      <w:ind w:left="571"/>
    </w:pPr>
    <w:rPr>
      <w:rFonts w:ascii="Calibri" w:hAnsi="Calibri" w:eastAsia="Calibri" w:cs="Calibri"/>
      <w:sz w:val="24"/>
      <w:szCs w:val="24"/>
      <w:lang w:val="pt-PT" w:eastAsia="en-US" w:bidi="ar-SA"/>
    </w:rPr>
  </w:style>
  <w:style w:styleId="TOC2" w:type="paragraph">
    <w:name w:val="TOC 2"/>
    <w:basedOn w:val="Normal"/>
    <w:uiPriority w:val="1"/>
    <w:qFormat/>
    <w:pPr>
      <w:ind w:left="571"/>
    </w:pPr>
    <w:rPr>
      <w:rFonts w:ascii="Calibri" w:hAnsi="Calibri" w:eastAsia="Calibri" w:cs="Calibri"/>
      <w:sz w:val="24"/>
      <w:szCs w:val="24"/>
      <w:lang w:val="pt-PT" w:eastAsia="en-US" w:bidi="ar-SA"/>
    </w:rPr>
  </w:style>
  <w:style w:styleId="TOC3" w:type="paragraph">
    <w:name w:val="TOC 3"/>
    <w:basedOn w:val="Normal"/>
    <w:uiPriority w:val="1"/>
    <w:qFormat/>
    <w:pPr>
      <w:ind w:left="571"/>
    </w:pPr>
    <w:rPr>
      <w:rFonts w:ascii="Calibri" w:hAnsi="Calibri" w:eastAsia="Calibri" w:cs="Calibri"/>
      <w:sz w:val="24"/>
      <w:szCs w:val="24"/>
      <w:lang w:val="pt-PT" w:eastAsia="en-US" w:bidi="ar-SA"/>
    </w:rPr>
  </w:style>
  <w:style w:styleId="TOC4" w:type="paragraph">
    <w:name w:val="TOC 4"/>
    <w:basedOn w:val="Normal"/>
    <w:uiPriority w:val="1"/>
    <w:qFormat/>
    <w:pPr>
      <w:ind w:left="571"/>
    </w:pPr>
    <w:rPr>
      <w:rFonts w:ascii="Calibri" w:hAnsi="Calibri" w:eastAsia="Calibri" w:cs="Calibri"/>
      <w:sz w:val="24"/>
      <w:szCs w:val="24"/>
      <w:lang w:val="pt-PT" w:eastAsia="en-US" w:bidi="ar-SA"/>
    </w:rPr>
  </w:style>
  <w:style w:styleId="BodyText" w:type="paragraph">
    <w:name w:val="Body Text"/>
    <w:basedOn w:val="Normal"/>
    <w:uiPriority w:val="1"/>
    <w:qFormat/>
    <w:pPr/>
    <w:rPr>
      <w:rFonts w:ascii="Calibri" w:hAnsi="Calibri" w:eastAsia="Calibri" w:cs="Calibri"/>
      <w:sz w:val="22"/>
      <w:szCs w:val="22"/>
      <w:lang w:val="pt-PT" w:eastAsia="en-US" w:bidi="ar-SA"/>
    </w:rPr>
  </w:style>
  <w:style w:styleId="Heading1" w:type="paragraph">
    <w:name w:val="Heading 1"/>
    <w:basedOn w:val="Normal"/>
    <w:uiPriority w:val="1"/>
    <w:qFormat/>
    <w:pPr>
      <w:spacing w:before="432"/>
      <w:ind w:left="4068" w:right="552" w:hanging="252"/>
      <w:outlineLvl w:val="1"/>
    </w:pPr>
    <w:rPr>
      <w:rFonts w:ascii="Arial MT" w:hAnsi="Arial MT" w:eastAsia="Arial MT" w:cs="Arial MT"/>
      <w:sz w:val="60"/>
      <w:szCs w:val="60"/>
      <w:lang w:val="pt-PT" w:eastAsia="en-US" w:bidi="ar-SA"/>
    </w:rPr>
  </w:style>
  <w:style w:styleId="Heading2" w:type="paragraph">
    <w:name w:val="Heading 2"/>
    <w:basedOn w:val="Normal"/>
    <w:uiPriority w:val="1"/>
    <w:qFormat/>
    <w:pPr>
      <w:ind w:left="115" w:right="20"/>
      <w:jc w:val="center"/>
      <w:outlineLvl w:val="2"/>
    </w:pPr>
    <w:rPr>
      <w:rFonts w:ascii="Calibri" w:hAnsi="Calibri" w:eastAsia="Calibri" w:cs="Calibri"/>
      <w:b/>
      <w:bCs/>
      <w:sz w:val="56"/>
      <w:szCs w:val="56"/>
      <w:lang w:val="pt-PT" w:eastAsia="en-US" w:bidi="ar-SA"/>
    </w:rPr>
  </w:style>
  <w:style w:styleId="Heading3" w:type="paragraph">
    <w:name w:val="Heading 3"/>
    <w:basedOn w:val="Normal"/>
    <w:uiPriority w:val="1"/>
    <w:qFormat/>
    <w:pPr>
      <w:ind w:left="718" w:hanging="568"/>
      <w:outlineLvl w:val="3"/>
    </w:pPr>
    <w:rPr>
      <w:rFonts w:ascii="Calibri" w:hAnsi="Calibri" w:eastAsia="Calibri" w:cs="Calibri"/>
      <w:b/>
      <w:bCs/>
      <w:sz w:val="26"/>
      <w:szCs w:val="26"/>
      <w:lang w:val="pt-PT" w:eastAsia="en-US" w:bidi="ar-SA"/>
    </w:rPr>
  </w:style>
  <w:style w:styleId="Heading4" w:type="paragraph">
    <w:name w:val="Heading 4"/>
    <w:basedOn w:val="Normal"/>
    <w:uiPriority w:val="1"/>
    <w:qFormat/>
    <w:pPr>
      <w:ind w:left="981"/>
      <w:jc w:val="both"/>
      <w:outlineLvl w:val="4"/>
    </w:pPr>
    <w:rPr>
      <w:rFonts w:ascii="Calibri" w:hAnsi="Calibri" w:eastAsia="Calibri" w:cs="Calibri"/>
      <w:sz w:val="24"/>
      <w:szCs w:val="24"/>
      <w:lang w:val="pt-PT" w:eastAsia="en-US" w:bidi="ar-SA"/>
    </w:rPr>
  </w:style>
  <w:style w:styleId="Heading5" w:type="paragraph">
    <w:name w:val="Heading 5"/>
    <w:basedOn w:val="Normal"/>
    <w:uiPriority w:val="1"/>
    <w:qFormat/>
    <w:pPr>
      <w:spacing w:before="241"/>
      <w:ind w:left="152"/>
      <w:jc w:val="both"/>
      <w:outlineLvl w:val="5"/>
    </w:pPr>
    <w:rPr>
      <w:rFonts w:ascii="Calibri" w:hAnsi="Calibri" w:eastAsia="Calibri" w:cs="Calibri"/>
      <w:b/>
      <w:bCs/>
      <w:sz w:val="22"/>
      <w:szCs w:val="22"/>
      <w:lang w:val="pt-PT" w:eastAsia="en-US" w:bidi="ar-SA"/>
    </w:rPr>
  </w:style>
  <w:style w:styleId="ListParagraph" w:type="paragraph">
    <w:name w:val="List Paragraph"/>
    <w:basedOn w:val="Normal"/>
    <w:uiPriority w:val="1"/>
    <w:qFormat/>
    <w:pPr>
      <w:ind w:left="718" w:hanging="568"/>
    </w:pPr>
    <w:rPr>
      <w:rFonts w:ascii="Calibri" w:hAnsi="Calibri" w:eastAsia="Calibri" w:cs="Calibri"/>
      <w:lang w:val="pt-PT" w:eastAsia="en-US" w:bidi="ar-SA"/>
    </w:rPr>
  </w:style>
  <w:style w:styleId="TableParagraph" w:type="paragraph">
    <w:name w:val="Table Paragraph"/>
    <w:basedOn w:val="Normal"/>
    <w:uiPriority w:val="1"/>
    <w:qFormat/>
    <w:pPr/>
    <w:rPr>
      <w:rFonts w:ascii="Calibri" w:hAnsi="Calibri" w:eastAsia="Calibri" w:cs="Calibri"/>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footer" Target="footer4.xml"/><Relationship Id="rId12" Type="http://schemas.openxmlformats.org/officeDocument/2006/relationships/header" Target="header1.xml"/><Relationship Id="rId13" Type="http://schemas.openxmlformats.org/officeDocument/2006/relationships/footer" Target="footer5.xml"/><Relationship Id="rId14" Type="http://schemas.openxmlformats.org/officeDocument/2006/relationships/header" Target="header2.xml"/><Relationship Id="rId15" Type="http://schemas.openxmlformats.org/officeDocument/2006/relationships/footer" Target="footer6.xml"/><Relationship Id="rId16" Type="http://schemas.openxmlformats.org/officeDocument/2006/relationships/header" Target="header3.xml"/><Relationship Id="rId17" Type="http://schemas.openxmlformats.org/officeDocument/2006/relationships/footer" Target="footer7.xml"/><Relationship Id="rId18" Type="http://schemas.openxmlformats.org/officeDocument/2006/relationships/header" Target="header4.xml"/><Relationship Id="rId19" Type="http://schemas.openxmlformats.org/officeDocument/2006/relationships/footer" Target="footer8.xml"/><Relationship Id="rId20" Type="http://schemas.openxmlformats.org/officeDocument/2006/relationships/header" Target="header5.xml"/><Relationship Id="rId21" Type="http://schemas.openxmlformats.org/officeDocument/2006/relationships/footer" Target="footer9.xm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2024-01-09T19:18:29Z</dcterms:created>
  <dcterms:modified xsi:type="dcterms:W3CDTF">2024-01-09T19:18:29Z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2024-01-09T00:00:00Z</vt:filetime>
  </property>
  <property fmtid="{D5CDD505-2E9C-101B-9397-08002B2CF9AE}" pid="3" name="Producer">
    <vt:lpwstr>3-Heights™ PDF Merge Split Shell 6.12.1.11 (http://www.pdf-tools.com)</vt:lpwstr>
  </property>
</Properties>
</file>